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Franklin Resources, Inc. (BEN)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Franklin Resources, Inc. (BEN)</w:t>
            </w:r>
          </w:p>
        </w:tc>
      </w:tr>
      <w:tr>
        <w:tc>
          <w:tcPr>
            <w:tcW w:type="dxa" w:w="4320"/>
          </w:tcPr>
          <w:p>
            <w:r>
              <w:rPr>
                <w:rFonts w:ascii="Calibri" w:hAnsi="Calibri"/>
                <w:b/>
                <w:sz w:val="22"/>
              </w:rPr>
              <w:t>Upcoming Earnings Date</w:t>
            </w:r>
          </w:p>
        </w:tc>
        <w:tc>
          <w:tcPr>
            <w:tcW w:type="dxa" w:w="4320"/>
          </w:tcPr>
          <w:p>
            <w:r>
              <w:rPr>
                <w:rFonts w:ascii="Calibri" w:hAnsi="Calibri"/>
                <w:sz w:val="22"/>
              </w:rPr>
              <w:t>July 31, 2026</w:t>
            </w:r>
          </w:p>
        </w:tc>
      </w:tr>
      <w:tr>
        <w:tc>
          <w:tcPr>
            <w:tcW w:type="dxa" w:w="4320"/>
          </w:tcPr>
          <w:p>
            <w:r>
              <w:rPr>
                <w:rFonts w:ascii="Calibri" w:hAnsi="Calibri"/>
                <w:b/>
                <w:sz w:val="22"/>
              </w:rPr>
              <w:t>Reporting Period</w:t>
            </w:r>
          </w:p>
        </w:tc>
        <w:tc>
          <w:tcPr>
            <w:tcW w:type="dxa" w:w="4320"/>
          </w:tcPr>
          <w:p>
            <w:r>
              <w:rPr>
                <w:rFonts w:ascii="Calibri" w:hAnsi="Calibri"/>
                <w:sz w:val="22"/>
              </w:rPr>
              <w:t>Fiscal Q3 2026 (quarter ending June 30, 2026)</w:t>
            </w:r>
          </w:p>
        </w:tc>
      </w:tr>
      <w:tr>
        <w:tc>
          <w:tcPr>
            <w:tcW w:type="dxa" w:w="4320"/>
          </w:tcPr>
          <w:p>
            <w:r>
              <w:rPr>
                <w:rFonts w:ascii="Calibri" w:hAnsi="Calibri"/>
                <w:b/>
                <w:sz w:val="22"/>
              </w:rPr>
              <w:t>Preparation Date</w:t>
            </w:r>
          </w:p>
        </w:tc>
        <w:tc>
          <w:tcPr>
            <w:tcW w:type="dxa" w:w="4320"/>
          </w:tcPr>
          <w:p>
            <w:r>
              <w:rPr>
                <w:rFonts w:ascii="Calibri" w:hAnsi="Calibri"/>
                <w:sz w:val="22"/>
              </w:rPr>
              <w:t>July 30, 2026</w:t>
            </w:r>
          </w:p>
        </w:tc>
      </w:tr>
      <w:tr>
        <w:tc>
          <w:tcPr>
            <w:tcW w:type="dxa" w:w="4320"/>
          </w:tcPr>
          <w:p>
            <w:r>
              <w:rPr>
                <w:rFonts w:ascii="Calibri" w:hAnsi="Calibri"/>
                <w:b/>
                <w:sz w:val="22"/>
              </w:rPr>
              <w:t>Sector ETF (benchmark)</w:t>
            </w:r>
          </w:p>
        </w:tc>
        <w:tc>
          <w:tcPr>
            <w:tcW w:type="dxa" w:w="4320"/>
          </w:tcPr>
          <w:p>
            <w:r>
              <w:rPr>
                <w:rFonts w:ascii="Calibri" w:hAnsi="Calibri"/>
                <w:sz w:val="22"/>
              </w:rPr>
              <w:t>IAI (iShares U.S. Broker-Dealers &amp; Securities Exchanges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for Q3 FY2026 sits at a manageable bar on both EPS ($0.66) and long-term net flows (~$18B), and the biggest swing factor is whether alternatives fundraising momentum (already tracking above the raised $25–30B annual target) translates into another upside surprise on fee-earning AUM conversion.</w:t>
      </w:r>
    </w:p>
    <w:p>
      <w:r>
        <w:rPr>
          <w:rFonts w:ascii="Calibri" w:hAnsi="Calibri"/>
          <w:b/>
          <w:color w:val="525866"/>
          <w:sz w:val="22"/>
        </w:rPr>
        <w:t xml:space="preserve">Heading into BEN's fiscal Q3 2026 print, the setup is constructive. </w:t>
      </w:r>
      <w:r>
        <w:rPr>
          <w:rFonts w:ascii="Calibri" w:hAnsi="Calibri"/>
          <w:color w:val="525866"/>
          <w:sz w:val="22"/>
        </w:rPr>
        <w:t>Consensus EPS of $0.66 represents a modest step-up from Q2's $0.71 actual, but the bar is not stretched — management guided the effective fee rate to the mid-to-high 37s (consistent with Q2), and expense guidance was explicit ($830M comp, $70M occupancy, $210–215M G&amp;A), giving the street a clear cost anchor. The tone from the April 28 earnings call was unambiguously confident: CEO Jennifer Johnson described Q2 as "excellent," declared the firm "ahead of our 5-year plan," and guided fiscal year-to-date private markets fundraising of $22.7B — already matching full-year 2025 — with an expectation to exceed the $30B upper end of the annual target. Estimate revisions have drifted modestly higher since the post-Q2 baseline (FY2026 EPS consensus up ~2.5% from $2.74 to $2.81), suggesting the street is gradually gaining conviction but has not yet fully priced in the alternatives ramp. The stock has rallied ~14% since the April 28 print (vs. IAI +5.4%, SPY +4.2%), meaning some beat is already in the price, but the multiple remains at a discount to peers — leaving room for further re-rating if management reiterates or raises the $30B+ fundraising target and the Q4 margin trajectory toward the high-29s. The key wildcard is the Lexington flagship fund update: management flagged a filing "towards the end of '26" (calendar year), and any incremental color on fund size or close timing could be a meaningful positive catalyst.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EPS and revenue, but the bigger swing factor is alternatives net flows — where BEN has consistently beaten expectations by wide margins. Long-term net flows consensus of ~$18B is the metric most likely to drive the stock on results day.</w:t>
      </w:r>
    </w:p>
    <w:p>
      <w:pPr>
        <w:pStyle w:val="Heading3"/>
      </w:pPr>
      <w:r>
        <w:rPr>
          <w:rFonts w:ascii="Calibri" w:hAnsi="Calibri"/>
          <w:b/>
          <w:color w:val="3B4259"/>
          <w:sz w:val="24"/>
        </w:rPr>
        <w:t>Table 1 — Current Quarter Snapshot (Fiscal Q3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FY2026)</w:t>
            </w:r>
          </w:p>
        </w:tc>
        <w:tc>
          <w:tcPr>
            <w:tcW w:type="dxa" w:w="1234"/>
            <w:shd w:val="clear" w:color="auto" w:fill="3B4259"/>
          </w:tcPr>
          <w:p>
            <w:r>
              <w:rPr>
                <w:rFonts w:ascii="Calibri" w:hAnsi="Calibri"/>
                <w:b/>
                <w:color w:val="FFFFFF"/>
                <w:sz w:val="22"/>
              </w:rPr>
              <w:t>Prior Year Period (Q3 FY2025)</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(from Q2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EPS (Diluted Operating)</w:t>
            </w:r>
          </w:p>
        </w:tc>
        <w:tc>
          <w:tcPr>
            <w:tcW w:type="dxa" w:w="1234"/>
          </w:tcPr>
          <w:p>
            <w:r>
              <w:rPr>
                <w:rFonts w:ascii="Calibri" w:hAnsi="Calibri"/>
                <w:sz w:val="22"/>
              </w:rPr>
              <w:t>$0.71</w:t>
            </w:r>
          </w:p>
        </w:tc>
        <w:tc>
          <w:tcPr>
            <w:tcW w:type="dxa" w:w="1234"/>
          </w:tcPr>
          <w:p>
            <w:r>
              <w:rPr>
                <w:rFonts w:ascii="Calibri" w:hAnsi="Calibri"/>
                <w:sz w:val="22"/>
              </w:rPr>
              <w:t>$0.49</w:t>
            </w:r>
          </w:p>
        </w:tc>
        <w:tc>
          <w:tcPr>
            <w:tcW w:type="dxa" w:w="1234"/>
          </w:tcPr>
          <w:p>
            <w:r>
              <w:rPr>
                <w:rFonts w:ascii="Calibri" w:hAnsi="Calibri"/>
                <w:sz w:val="22"/>
              </w:rPr>
              <w:t>$0.66</w:t>
            </w:r>
          </w:p>
        </w:tc>
        <w:tc>
          <w:tcPr>
            <w:tcW w:type="dxa" w:w="1234"/>
          </w:tcPr>
          <w:p>
            <w:r>
              <w:rPr>
                <w:rFonts w:ascii="Calibri" w:hAnsi="Calibri"/>
                <w:sz w:val="22"/>
              </w:rPr>
              <w:t>+34.7% YoY</w:t>
            </w:r>
          </w:p>
        </w:tc>
        <w:tc>
          <w:tcPr>
            <w:tcW w:type="dxa" w:w="1234"/>
          </w:tcPr>
          <w:p>
            <w:r>
              <w:rPr>
                <w:rFonts w:ascii="Calibri" w:hAnsi="Calibri"/>
                <w:sz w:val="22"/>
              </w:rPr>
              <w:t>No explicit EPS guide</w:t>
            </w:r>
          </w:p>
        </w:tc>
        <w:tc>
          <w:tcPr>
            <w:tcW w:type="dxa" w:w="1234"/>
          </w:tcPr>
          <w:p>
            <w:r>
              <w:rPr>
                <w:rFonts w:ascii="Calibri" w:hAnsi="Calibri"/>
                <w:sz w:val="22"/>
              </w:rPr>
              <w:t>N/A</w:t>
            </w:r>
          </w:p>
        </w:tc>
      </w:tr>
      <w:tr>
        <w:tc>
          <w:tcPr>
            <w:tcW w:type="dxa" w:w="1234"/>
          </w:tcPr>
          <w:p>
            <w:r>
              <w:rPr>
                <w:rFonts w:ascii="Calibri" w:hAnsi="Calibri"/>
                <w:sz w:val="22"/>
              </w:rPr>
              <w:t>Total Operating Revenue (Operating)</w:t>
            </w:r>
          </w:p>
        </w:tc>
        <w:tc>
          <w:tcPr>
            <w:tcW w:type="dxa" w:w="1234"/>
          </w:tcPr>
          <w:p>
            <w:r>
              <w:rPr>
                <w:rFonts w:ascii="Calibri" w:hAnsi="Calibri"/>
                <w:sz w:val="22"/>
              </w:rPr>
              <w:t>$1,752.5M</w:t>
            </w:r>
          </w:p>
        </w:tc>
        <w:tc>
          <w:tcPr>
            <w:tcW w:type="dxa" w:w="1234"/>
          </w:tcPr>
          <w:p>
            <w:r>
              <w:rPr>
                <w:rFonts w:ascii="Calibri" w:hAnsi="Calibri"/>
                <w:sz w:val="22"/>
              </w:rPr>
              <w:t>$1,593.2M</w:t>
            </w:r>
          </w:p>
        </w:tc>
        <w:tc>
          <w:tcPr>
            <w:tcW w:type="dxa" w:w="1234"/>
          </w:tcPr>
          <w:p>
            <w:r>
              <w:rPr>
                <w:rFonts w:ascii="Calibri" w:hAnsi="Calibri"/>
                <w:sz w:val="22"/>
              </w:rPr>
              <w:t>$1,782.8M</w:t>
            </w:r>
          </w:p>
        </w:tc>
        <w:tc>
          <w:tcPr>
            <w:tcW w:type="dxa" w:w="1234"/>
          </w:tcPr>
          <w:p>
            <w:r>
              <w:rPr>
                <w:rFonts w:ascii="Calibri" w:hAnsi="Calibri"/>
                <w:sz w:val="22"/>
              </w:rPr>
              <w:t>+11.9% YoY</w:t>
            </w:r>
          </w:p>
        </w:tc>
        <w:tc>
          <w:tcPr>
            <w:tcW w:type="dxa" w:w="1234"/>
          </w:tcPr>
          <w:p>
            <w:r>
              <w:rPr>
                <w:rFonts w:ascii="Calibri" w:hAnsi="Calibri"/>
                <w:sz w:val="22"/>
              </w:rPr>
              <w:t>Fee rate guided mid-to-high 37s bps; inv. mgmt. fees +6%+ YoY</w:t>
            </w:r>
          </w:p>
        </w:tc>
        <w:tc>
          <w:tcPr>
            <w:tcW w:type="dxa" w:w="1234"/>
          </w:tcPr>
          <w:p>
            <w:r>
              <w:rPr>
                <w:rFonts w:ascii="Calibri" w:hAnsi="Calibri"/>
                <w:sz w:val="22"/>
              </w:rPr>
              <w:t>~+1.7% above implied guidance</w:t>
            </w:r>
          </w:p>
        </w:tc>
      </w:tr>
      <w:tr>
        <w:tc>
          <w:tcPr>
            <w:tcW w:type="dxa" w:w="1234"/>
          </w:tcPr>
          <w:p>
            <w:r>
              <w:rPr>
                <w:rFonts w:ascii="Calibri" w:hAnsi="Calibri"/>
                <w:sz w:val="22"/>
              </w:rPr>
              <w:t>Investment Mgmt. Fees (Operating)</w:t>
            </w:r>
          </w:p>
        </w:tc>
        <w:tc>
          <w:tcPr>
            <w:tcW w:type="dxa" w:w="1234"/>
          </w:tcPr>
          <w:p>
            <w:r>
              <w:rPr>
                <w:rFonts w:ascii="Calibri" w:hAnsi="Calibri"/>
                <w:sz w:val="22"/>
              </w:rPr>
              <w:t>$1,673.5M</w:t>
            </w:r>
          </w:p>
        </w:tc>
        <w:tc>
          <w:tcPr>
            <w:tcW w:type="dxa" w:w="1234"/>
          </w:tcPr>
          <w:p>
            <w:r>
              <w:rPr>
                <w:rFonts w:ascii="Calibri" w:hAnsi="Calibri"/>
                <w:sz w:val="22"/>
              </w:rPr>
              <w:t>$1,521.9M</w:t>
            </w:r>
          </w:p>
        </w:tc>
        <w:tc>
          <w:tcPr>
            <w:tcW w:type="dxa" w:w="1234"/>
          </w:tcPr>
          <w:p>
            <w:r>
              <w:rPr>
                <w:rFonts w:ascii="Calibri" w:hAnsi="Calibri"/>
                <w:sz w:val="22"/>
              </w:rPr>
              <w:t>$1,703.3M</w:t>
            </w:r>
          </w:p>
        </w:tc>
        <w:tc>
          <w:tcPr>
            <w:tcW w:type="dxa" w:w="1234"/>
          </w:tcPr>
          <w:p>
            <w:r>
              <w:rPr>
                <w:rFonts w:ascii="Calibri" w:hAnsi="Calibri"/>
                <w:sz w:val="22"/>
              </w:rPr>
              <w:t>+11.9% YoY</w:t>
            </w:r>
          </w:p>
        </w:tc>
        <w:tc>
          <w:tcPr>
            <w:tcW w:type="dxa" w:w="1234"/>
          </w:tcPr>
          <w:p>
            <w:r>
              <w:rPr>
                <w:rFonts w:ascii="Calibri" w:hAnsi="Calibri"/>
                <w:sz w:val="22"/>
              </w:rPr>
              <w:t>+6%+ YoY (explicit)</w:t>
            </w:r>
          </w:p>
        </w:tc>
        <w:tc>
          <w:tcPr>
            <w:tcW w:type="dxa" w:w="1234"/>
          </w:tcPr>
          <w:p>
            <w:r>
              <w:rPr>
                <w:rFonts w:ascii="Calibri" w:hAnsi="Calibri"/>
                <w:sz w:val="22"/>
              </w:rPr>
              <w:t>~+11.9% vs. +6% guide — consensus above floor</w:t>
            </w:r>
          </w:p>
        </w:tc>
      </w:tr>
      <w:tr>
        <w:tc>
          <w:tcPr>
            <w:tcW w:type="dxa" w:w="1234"/>
          </w:tcPr>
          <w:p>
            <w:r>
              <w:rPr>
                <w:rFonts w:ascii="Calibri" w:hAnsi="Calibri"/>
                <w:sz w:val="22"/>
              </w:rPr>
              <w:t>Long-Term Net Flows</w:t>
            </w:r>
          </w:p>
        </w:tc>
        <w:tc>
          <w:tcPr>
            <w:tcW w:type="dxa" w:w="1234"/>
          </w:tcPr>
          <w:p>
            <w:r>
              <w:rPr>
                <w:rFonts w:ascii="Calibri" w:hAnsi="Calibri"/>
                <w:sz w:val="22"/>
              </w:rPr>
              <w:t>$16.9B</w:t>
            </w:r>
          </w:p>
        </w:tc>
        <w:tc>
          <w:tcPr>
            <w:tcW w:type="dxa" w:w="1234"/>
          </w:tcPr>
          <w:p>
            <w:r>
              <w:rPr>
                <w:rFonts w:ascii="Calibri" w:hAnsi="Calibri"/>
                <w:sz w:val="22"/>
              </w:rPr>
              <w:t>-$9.3B</w:t>
            </w:r>
          </w:p>
        </w:tc>
        <w:tc>
          <w:tcPr>
            <w:tcW w:type="dxa" w:w="1234"/>
          </w:tcPr>
          <w:p>
            <w:r>
              <w:rPr>
                <w:rFonts w:ascii="Calibri" w:hAnsi="Calibri"/>
                <w:sz w:val="22"/>
              </w:rPr>
              <w:t>$18.0B</w:t>
            </w:r>
          </w:p>
        </w:tc>
        <w:tc>
          <w:tcPr>
            <w:tcW w:type="dxa" w:w="1234"/>
          </w:tcPr>
          <w:p>
            <w:r>
              <w:rPr>
                <w:rFonts w:ascii="Calibri" w:hAnsi="Calibri"/>
                <w:sz w:val="22"/>
              </w:rPr>
              <w:t>N/M (prior year negative)</w:t>
            </w:r>
          </w:p>
        </w:tc>
        <w:tc>
          <w:tcPr>
            <w:tcW w:type="dxa" w:w="1234"/>
          </w:tcPr>
          <w:p>
            <w:r>
              <w:rPr>
                <w:rFonts w:ascii="Calibri" w:hAnsi="Calibri"/>
                <w:sz w:val="22"/>
              </w:rPr>
              <w:t>No explicit target; institutional pipeline $20.2B</w:t>
            </w:r>
          </w:p>
        </w:tc>
        <w:tc>
          <w:tcPr>
            <w:tcW w:type="dxa" w:w="1234"/>
          </w:tcPr>
          <w:p>
            <w:r>
              <w:rPr>
                <w:rFonts w:ascii="Calibri" w:hAnsi="Calibri"/>
                <w:sz w:val="22"/>
              </w:rPr>
              <w:t>N/A</w:t>
            </w:r>
          </w:p>
        </w:tc>
      </w:tr>
      <w:tr>
        <w:tc>
          <w:tcPr>
            <w:tcW w:type="dxa" w:w="1234"/>
          </w:tcPr>
          <w:p>
            <w:r>
              <w:rPr>
                <w:rFonts w:ascii="Calibri" w:hAnsi="Calibri"/>
                <w:sz w:val="22"/>
              </w:rPr>
              <w:t>Alternatives Net Flows</w:t>
            </w:r>
          </w:p>
        </w:tc>
        <w:tc>
          <w:tcPr>
            <w:tcW w:type="dxa" w:w="1234"/>
          </w:tcPr>
          <w:p>
            <w:r>
              <w:rPr>
                <w:rFonts w:ascii="Calibri" w:hAnsi="Calibri"/>
                <w:sz w:val="22"/>
              </w:rPr>
              <w:t>$12.4B</w:t>
            </w:r>
          </w:p>
        </w:tc>
        <w:tc>
          <w:tcPr>
            <w:tcW w:type="dxa" w:w="1234"/>
          </w:tcPr>
          <w:p>
            <w:r>
              <w:rPr>
                <w:rFonts w:ascii="Calibri" w:hAnsi="Calibri"/>
                <w:sz w:val="22"/>
              </w:rPr>
              <w:t>$2.5B</w:t>
            </w:r>
          </w:p>
        </w:tc>
        <w:tc>
          <w:tcPr>
            <w:tcW w:type="dxa" w:w="1234"/>
          </w:tcPr>
          <w:p>
            <w:r>
              <w:rPr>
                <w:rFonts w:ascii="Calibri" w:hAnsi="Calibri"/>
                <w:sz w:val="22"/>
              </w:rPr>
              <w:t>$9.5B</w:t>
            </w:r>
          </w:p>
        </w:tc>
        <w:tc>
          <w:tcPr>
            <w:tcW w:type="dxa" w:w="1234"/>
          </w:tcPr>
          <w:p>
            <w:r>
              <w:rPr>
                <w:rFonts w:ascii="Calibri" w:hAnsi="Calibri"/>
                <w:sz w:val="22"/>
              </w:rPr>
              <w:t>N/M (prior year low base)</w:t>
            </w:r>
          </w:p>
        </w:tc>
        <w:tc>
          <w:tcPr>
            <w:tcW w:type="dxa" w:w="1234"/>
          </w:tcPr>
          <w:p>
            <w:r>
              <w:rPr>
                <w:rFonts w:ascii="Calibri" w:hAnsi="Calibri"/>
                <w:sz w:val="22"/>
              </w:rPr>
              <w:t>&gt;$30B annual target (FY-to-date $22.7B through Q2)</w:t>
            </w:r>
          </w:p>
        </w:tc>
        <w:tc>
          <w:tcPr>
            <w:tcW w:type="dxa" w:w="1234"/>
          </w:tcPr>
          <w:p>
            <w:r>
              <w:rPr>
                <w:rFonts w:ascii="Calibri" w:hAnsi="Calibri"/>
                <w:sz w:val="22"/>
              </w:rPr>
              <w:t>Consensus likely conservative vs. trajectory</w:t>
            </w:r>
          </w:p>
        </w:tc>
      </w:tr>
      <w:tr>
        <w:tc>
          <w:tcPr>
            <w:tcW w:type="dxa" w:w="1234"/>
          </w:tcPr>
          <w:p>
            <w:r>
              <w:rPr>
                <w:rFonts w:ascii="Calibri" w:hAnsi="Calibri"/>
                <w:sz w:val="22"/>
              </w:rPr>
              <w:t>Operating Income (Operating)</w:t>
            </w:r>
          </w:p>
        </w:tc>
        <w:tc>
          <w:tcPr>
            <w:tcW w:type="dxa" w:w="1234"/>
          </w:tcPr>
          <w:p>
            <w:r>
              <w:rPr>
                <w:rFonts w:ascii="Calibri" w:hAnsi="Calibri"/>
                <w:sz w:val="22"/>
              </w:rPr>
              <w:t>$474.6M</w:t>
            </w:r>
          </w:p>
        </w:tc>
        <w:tc>
          <w:tcPr>
            <w:tcW w:type="dxa" w:w="1234"/>
          </w:tcPr>
          <w:p>
            <w:r>
              <w:rPr>
                <w:rFonts w:ascii="Calibri" w:hAnsi="Calibri"/>
                <w:sz w:val="22"/>
              </w:rPr>
              <w:t>$377.8M</w:t>
            </w:r>
          </w:p>
        </w:tc>
        <w:tc>
          <w:tcPr>
            <w:tcW w:type="dxa" w:w="1234"/>
          </w:tcPr>
          <w:p>
            <w:r>
              <w:rPr>
                <w:rFonts w:ascii="Calibri" w:hAnsi="Calibri"/>
                <w:sz w:val="22"/>
              </w:rPr>
              <w:t>$489.6M</w:t>
            </w:r>
          </w:p>
        </w:tc>
        <w:tc>
          <w:tcPr>
            <w:tcW w:type="dxa" w:w="1234"/>
          </w:tcPr>
          <w:p>
            <w:r>
              <w:rPr>
                <w:rFonts w:ascii="Calibri" w:hAnsi="Calibri"/>
                <w:sz w:val="22"/>
              </w:rPr>
              <w:t>+29.6% YoY</w:t>
            </w:r>
          </w:p>
        </w:tc>
        <w:tc>
          <w:tcPr>
            <w:tcW w:type="dxa" w:w="1234"/>
          </w:tcPr>
          <w:p>
            <w:r>
              <w:rPr>
                <w:rFonts w:ascii="Calibri" w:hAnsi="Calibri"/>
                <w:sz w:val="22"/>
              </w:rPr>
              <w:t>Q4 margin high-29s; FY margin high-27s</w:t>
            </w:r>
          </w:p>
        </w:tc>
        <w:tc>
          <w:tcPr>
            <w:tcW w:type="dxa" w:w="1234"/>
          </w:tcPr>
          <w:p>
            <w:r>
              <w:rPr>
                <w:rFonts w:ascii="Calibri" w:hAnsi="Calibri"/>
                <w:sz w:val="22"/>
              </w:rPr>
              <w:t>Tracking toward guided margin path</w:t>
            </w:r>
          </w:p>
        </w:tc>
      </w:tr>
      <w:tr>
        <w:tc>
          <w:tcPr>
            <w:tcW w:type="dxa" w:w="1234"/>
          </w:tcPr>
          <w:p>
            <w:r>
              <w:rPr>
                <w:rFonts w:ascii="Calibri" w:hAnsi="Calibri"/>
                <w:sz w:val="22"/>
              </w:rPr>
              <w:t>Ending AUM</w:t>
            </w:r>
          </w:p>
        </w:tc>
        <w:tc>
          <w:tcPr>
            <w:tcW w:type="dxa" w:w="1234"/>
          </w:tcPr>
          <w:p>
            <w:r>
              <w:rPr>
                <w:rFonts w:ascii="Calibri" w:hAnsi="Calibri"/>
                <w:sz w:val="22"/>
              </w:rPr>
              <w:t>$1,682.1B</w:t>
            </w:r>
          </w:p>
        </w:tc>
        <w:tc>
          <w:tcPr>
            <w:tcW w:type="dxa" w:w="1234"/>
          </w:tcPr>
          <w:p>
            <w:r>
              <w:rPr>
                <w:rFonts w:ascii="Calibri" w:hAnsi="Calibri"/>
                <w:sz w:val="22"/>
              </w:rPr>
              <w:t>$1,611.8B</w:t>
            </w:r>
          </w:p>
        </w:tc>
        <w:tc>
          <w:tcPr>
            <w:tcW w:type="dxa" w:w="1234"/>
          </w:tcPr>
          <w:p>
            <w:r>
              <w:rPr>
                <w:rFonts w:ascii="Calibri" w:hAnsi="Calibri"/>
                <w:sz w:val="22"/>
              </w:rPr>
              <w:t>$1,793.1B</w:t>
            </w:r>
          </w:p>
        </w:tc>
        <w:tc>
          <w:tcPr>
            <w:tcW w:type="dxa" w:w="1234"/>
          </w:tcPr>
          <w:p>
            <w:r>
              <w:rPr>
                <w:rFonts w:ascii="Calibri" w:hAnsi="Calibri"/>
                <w:sz w:val="22"/>
              </w:rPr>
              <w:t>+11.3% YoY</w:t>
            </w:r>
          </w:p>
        </w:tc>
        <w:tc>
          <w:tcPr>
            <w:tcW w:type="dxa" w:w="1234"/>
          </w:tcPr>
          <w:p>
            <w:r>
              <w:rPr>
                <w:rFonts w:ascii="Calibri" w:hAnsi="Calibri"/>
                <w:sz w:val="22"/>
              </w:rPr>
              <w:t>No explicit AUM target</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30, 2026. Prior year actuals from VA. Q2 FY2026 actuals reported April 28, 2026.</w:t>
      </w:r>
    </w:p>
    <w:p>
      <w:pPr>
        <w:pStyle w:val="Heading3"/>
      </w:pPr>
      <w:r>
        <w:rPr>
          <w:rFonts w:ascii="Calibri" w:hAnsi="Calibri"/>
          <w:b/>
          <w:color w:val="3B4259"/>
          <w:sz w:val="24"/>
        </w:rPr>
        <w:t>Table 2 — Beat/Miss History (Last 8 Quarters, Top 2 KPIs)</w:t>
      </w:r>
    </w:p>
    <w:p>
      <w:r>
        <w:rPr>
          <w:rFonts w:ascii="Calibri" w:hAnsi="Calibri"/>
          <w:b/>
          <w:color w:val="525866"/>
          <w:sz w:val="22"/>
        </w:rPr>
        <w:t>KPI 1: 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FY2026 (Mar 2026)</w:t>
            </w:r>
          </w:p>
        </w:tc>
        <w:tc>
          <w:tcPr>
            <w:tcW w:type="dxa" w:w="1728"/>
          </w:tcPr>
          <w:p>
            <w:r>
              <w:rPr>
                <w:rFonts w:ascii="Calibri" w:hAnsi="Calibri"/>
                <w:sz w:val="22"/>
              </w:rPr>
              <w:t>$0.71</w:t>
            </w:r>
          </w:p>
        </w:tc>
        <w:tc>
          <w:tcPr>
            <w:tcW w:type="dxa" w:w="1728"/>
          </w:tcPr>
          <w:p>
            <w:r>
              <w:rPr>
                <w:rFonts w:ascii="Calibri" w:hAnsi="Calibri"/>
                <w:sz w:val="22"/>
              </w:rPr>
              <w:t>$0.55</w:t>
            </w:r>
          </w:p>
        </w:tc>
        <w:tc>
          <w:tcPr>
            <w:tcW w:type="dxa" w:w="1728"/>
          </w:tcPr>
          <w:p>
            <w:r>
              <w:rPr>
                <w:rFonts w:ascii="Calibri" w:hAnsi="Calibri"/>
                <w:b/>
                <w:color w:val="30A46C"/>
                <w:sz w:val="22"/>
              </w:rPr>
              <w:t>+29.1%</w:t>
            </w:r>
          </w:p>
        </w:tc>
        <w:tc>
          <w:tcPr>
            <w:tcW w:type="dxa" w:w="1728"/>
          </w:tcPr>
          <w:p>
            <w:r>
              <w:rPr>
                <w:rFonts w:ascii="Calibri" w:hAnsi="Calibri"/>
                <w:sz w:val="22"/>
              </w:rPr>
              <w:t>Beat</w:t>
            </w:r>
          </w:p>
        </w:tc>
      </w:tr>
      <w:tr>
        <w:tc>
          <w:tcPr>
            <w:tcW w:type="dxa" w:w="1728"/>
          </w:tcPr>
          <w:p>
            <w:r>
              <w:rPr>
                <w:rFonts w:ascii="Calibri" w:hAnsi="Calibri"/>
                <w:sz w:val="22"/>
              </w:rPr>
              <w:t>Q1 FY2026 (Dec 2025)</w:t>
            </w:r>
          </w:p>
        </w:tc>
        <w:tc>
          <w:tcPr>
            <w:tcW w:type="dxa" w:w="1728"/>
          </w:tcPr>
          <w:p>
            <w:r>
              <w:rPr>
                <w:rFonts w:ascii="Calibri" w:hAnsi="Calibri"/>
                <w:sz w:val="22"/>
              </w:rPr>
              <w:t>$0.70</w:t>
            </w:r>
          </w:p>
        </w:tc>
        <w:tc>
          <w:tcPr>
            <w:tcW w:type="dxa" w:w="1728"/>
          </w:tcPr>
          <w:p>
            <w:r>
              <w:rPr>
                <w:rFonts w:ascii="Calibri" w:hAnsi="Calibri"/>
                <w:sz w:val="22"/>
              </w:rPr>
              <w:t>$0.54</w:t>
            </w:r>
          </w:p>
        </w:tc>
        <w:tc>
          <w:tcPr>
            <w:tcW w:type="dxa" w:w="1728"/>
          </w:tcPr>
          <w:p>
            <w:r>
              <w:rPr>
                <w:rFonts w:ascii="Calibri" w:hAnsi="Calibri"/>
                <w:b/>
                <w:color w:val="30A46C"/>
                <w:sz w:val="22"/>
              </w:rPr>
              <w:t>+29.6%</w:t>
            </w:r>
          </w:p>
        </w:tc>
        <w:tc>
          <w:tcPr>
            <w:tcW w:type="dxa" w:w="1728"/>
          </w:tcPr>
          <w:p>
            <w:r>
              <w:rPr>
                <w:rFonts w:ascii="Calibri" w:hAnsi="Calibri"/>
                <w:sz w:val="22"/>
              </w:rPr>
              <w:t>Beat</w:t>
            </w:r>
          </w:p>
        </w:tc>
      </w:tr>
      <w:tr>
        <w:tc>
          <w:tcPr>
            <w:tcW w:type="dxa" w:w="1728"/>
          </w:tcPr>
          <w:p>
            <w:r>
              <w:rPr>
                <w:rFonts w:ascii="Calibri" w:hAnsi="Calibri"/>
                <w:sz w:val="22"/>
              </w:rPr>
              <w:t>Q4 FY2025 (Sep 2025)</w:t>
            </w:r>
          </w:p>
        </w:tc>
        <w:tc>
          <w:tcPr>
            <w:tcW w:type="dxa" w:w="1728"/>
          </w:tcPr>
          <w:p>
            <w:r>
              <w:rPr>
                <w:rFonts w:ascii="Calibri" w:hAnsi="Calibri"/>
                <w:sz w:val="22"/>
              </w:rPr>
              <w:t>$0.67</w:t>
            </w:r>
          </w:p>
        </w:tc>
        <w:tc>
          <w:tcPr>
            <w:tcW w:type="dxa" w:w="1728"/>
          </w:tcPr>
          <w:p>
            <w:r>
              <w:rPr>
                <w:rFonts w:ascii="Calibri" w:hAnsi="Calibri"/>
                <w:sz w:val="22"/>
              </w:rPr>
              <w:t>$0.57</w:t>
            </w:r>
          </w:p>
        </w:tc>
        <w:tc>
          <w:tcPr>
            <w:tcW w:type="dxa" w:w="1728"/>
          </w:tcPr>
          <w:p>
            <w:r>
              <w:rPr>
                <w:rFonts w:ascii="Calibri" w:hAnsi="Calibri"/>
                <w:b/>
                <w:color w:val="30A46C"/>
                <w:sz w:val="22"/>
              </w:rPr>
              <w:t>+17.5%</w:t>
            </w:r>
          </w:p>
        </w:tc>
        <w:tc>
          <w:tcPr>
            <w:tcW w:type="dxa" w:w="1728"/>
          </w:tcPr>
          <w:p>
            <w:r>
              <w:rPr>
                <w:rFonts w:ascii="Calibri" w:hAnsi="Calibri"/>
                <w:sz w:val="22"/>
              </w:rPr>
              <w:t>Beat</w:t>
            </w:r>
          </w:p>
        </w:tc>
      </w:tr>
      <w:tr>
        <w:tc>
          <w:tcPr>
            <w:tcW w:type="dxa" w:w="1728"/>
          </w:tcPr>
          <w:p>
            <w:r>
              <w:rPr>
                <w:rFonts w:ascii="Calibri" w:hAnsi="Calibri"/>
                <w:sz w:val="22"/>
              </w:rPr>
              <w:t>Q3 FY2025 (Jun 2025)</w:t>
            </w:r>
          </w:p>
        </w:tc>
        <w:tc>
          <w:tcPr>
            <w:tcW w:type="dxa" w:w="1728"/>
          </w:tcPr>
          <w:p>
            <w:r>
              <w:rPr>
                <w:rFonts w:ascii="Calibri" w:hAnsi="Calibri"/>
                <w:sz w:val="22"/>
              </w:rPr>
              <w:t>$0.49</w:t>
            </w:r>
          </w:p>
        </w:tc>
        <w:tc>
          <w:tcPr>
            <w:tcW w:type="dxa" w:w="1728"/>
          </w:tcPr>
          <w:p>
            <w:r>
              <w:rPr>
                <w:rFonts w:ascii="Calibri" w:hAnsi="Calibri"/>
                <w:sz w:val="22"/>
              </w:rPr>
              <w:t>$0.49</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Q2 FY2025 (Mar 2025)</w:t>
            </w:r>
          </w:p>
        </w:tc>
        <w:tc>
          <w:tcPr>
            <w:tcW w:type="dxa" w:w="1728"/>
          </w:tcPr>
          <w:p>
            <w:r>
              <w:rPr>
                <w:rFonts w:ascii="Calibri" w:hAnsi="Calibri"/>
                <w:sz w:val="22"/>
              </w:rPr>
              <w:t>$0.47</w:t>
            </w:r>
          </w:p>
        </w:tc>
        <w:tc>
          <w:tcPr>
            <w:tcW w:type="dxa" w:w="1728"/>
          </w:tcPr>
          <w:p>
            <w:r>
              <w:rPr>
                <w:rFonts w:ascii="Calibri" w:hAnsi="Calibri"/>
                <w:sz w:val="22"/>
              </w:rPr>
              <w:t>$0.47</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Q1 FY2025 (Dec 2024)</w:t>
            </w:r>
          </w:p>
        </w:tc>
        <w:tc>
          <w:tcPr>
            <w:tcW w:type="dxa" w:w="1728"/>
          </w:tcPr>
          <w:p>
            <w:r>
              <w:rPr>
                <w:rFonts w:ascii="Calibri" w:hAnsi="Calibri"/>
                <w:sz w:val="22"/>
              </w:rPr>
              <w:t>$0.59</w:t>
            </w:r>
          </w:p>
        </w:tc>
        <w:tc>
          <w:tcPr>
            <w:tcW w:type="dxa" w:w="1728"/>
          </w:tcPr>
          <w:p>
            <w:r>
              <w:rPr>
                <w:rFonts w:ascii="Calibri" w:hAnsi="Calibri"/>
                <w:sz w:val="22"/>
              </w:rPr>
              <w:t>$0.53</w:t>
            </w:r>
          </w:p>
        </w:tc>
        <w:tc>
          <w:tcPr>
            <w:tcW w:type="dxa" w:w="1728"/>
          </w:tcPr>
          <w:p>
            <w:r>
              <w:rPr>
                <w:rFonts w:ascii="Calibri" w:hAnsi="Calibri"/>
                <w:b/>
                <w:color w:val="30A46C"/>
                <w:sz w:val="22"/>
              </w:rPr>
              <w:t>+11.3%</w:t>
            </w:r>
          </w:p>
        </w:tc>
        <w:tc>
          <w:tcPr>
            <w:tcW w:type="dxa" w:w="1728"/>
          </w:tcPr>
          <w:p>
            <w:r>
              <w:rPr>
                <w:rFonts w:ascii="Calibri" w:hAnsi="Calibri"/>
                <w:sz w:val="22"/>
              </w:rPr>
              <w:t>Beat</w:t>
            </w:r>
          </w:p>
        </w:tc>
      </w:tr>
      <w:tr>
        <w:tc>
          <w:tcPr>
            <w:tcW w:type="dxa" w:w="1728"/>
          </w:tcPr>
          <w:p>
            <w:r>
              <w:rPr>
                <w:rFonts w:ascii="Calibri" w:hAnsi="Calibri"/>
                <w:sz w:val="22"/>
              </w:rPr>
              <w:t>Q4 FY2024 (Sep 2024)</w:t>
            </w:r>
          </w:p>
        </w:tc>
        <w:tc>
          <w:tcPr>
            <w:tcW w:type="dxa" w:w="1728"/>
          </w:tcPr>
          <w:p>
            <w:r>
              <w:rPr>
                <w:rFonts w:ascii="Calibri" w:hAnsi="Calibri"/>
                <w:sz w:val="22"/>
              </w:rPr>
              <w:t>$0.59</w:t>
            </w:r>
          </w:p>
        </w:tc>
        <w:tc>
          <w:tcPr>
            <w:tcW w:type="dxa" w:w="1728"/>
          </w:tcPr>
          <w:p>
            <w:r>
              <w:rPr>
                <w:rFonts w:ascii="Calibri" w:hAnsi="Calibri"/>
                <w:sz w:val="22"/>
              </w:rPr>
              <w:t>$0.60</w:t>
            </w:r>
          </w:p>
        </w:tc>
        <w:tc>
          <w:tcPr>
            <w:tcW w:type="dxa" w:w="1728"/>
          </w:tcPr>
          <w:p>
            <w:r>
              <w:rPr>
                <w:rFonts w:ascii="Calibri" w:hAnsi="Calibri"/>
                <w:b/>
                <w:color w:val="E5484D"/>
                <w:sz w:val="22"/>
              </w:rPr>
              <w:t>-1.7%</w:t>
            </w:r>
          </w:p>
        </w:tc>
        <w:tc>
          <w:tcPr>
            <w:tcW w:type="dxa" w:w="1728"/>
          </w:tcPr>
          <w:p>
            <w:r>
              <w:rPr>
                <w:rFonts w:ascii="Calibri" w:hAnsi="Calibri"/>
                <w:sz w:val="22"/>
              </w:rPr>
              <w:t>Miss</w:t>
            </w:r>
          </w:p>
        </w:tc>
      </w:tr>
      <w:tr>
        <w:tc>
          <w:tcPr>
            <w:tcW w:type="dxa" w:w="1728"/>
          </w:tcPr>
          <w:p>
            <w:r>
              <w:rPr>
                <w:rFonts w:ascii="Calibri" w:hAnsi="Calibri"/>
                <w:sz w:val="22"/>
              </w:rPr>
              <w:t>Q3 FY2024 (Jun 2024)</w:t>
            </w:r>
          </w:p>
        </w:tc>
        <w:tc>
          <w:tcPr>
            <w:tcW w:type="dxa" w:w="1728"/>
          </w:tcPr>
          <w:p>
            <w:r>
              <w:rPr>
                <w:rFonts w:ascii="Calibri" w:hAnsi="Calibri"/>
                <w:sz w:val="22"/>
              </w:rPr>
              <w:t>$0.60</w:t>
            </w:r>
          </w:p>
        </w:tc>
        <w:tc>
          <w:tcPr>
            <w:tcW w:type="dxa" w:w="1728"/>
          </w:tcPr>
          <w:p>
            <w:r>
              <w:rPr>
                <w:rFonts w:ascii="Calibri" w:hAnsi="Calibri"/>
                <w:sz w:val="22"/>
              </w:rPr>
              <w:t>$0.56</w:t>
            </w:r>
          </w:p>
        </w:tc>
        <w:tc>
          <w:tcPr>
            <w:tcW w:type="dxa" w:w="1728"/>
          </w:tcPr>
          <w:p>
            <w:r>
              <w:rPr>
                <w:rFonts w:ascii="Calibri" w:hAnsi="Calibri"/>
                <w:b/>
                <w:color w:val="30A46C"/>
                <w:sz w:val="22"/>
              </w:rPr>
              <w:t>+7.1%</w:t>
            </w:r>
          </w:p>
        </w:tc>
        <w:tc>
          <w:tcPr>
            <w:tcW w:type="dxa" w:w="1728"/>
          </w:tcPr>
          <w:p>
            <w:r>
              <w:rPr>
                <w:rFonts w:ascii="Calibri" w:hAnsi="Calibri"/>
                <w:sz w:val="22"/>
              </w:rPr>
              <w:t>Beat</w:t>
            </w:r>
          </w:p>
        </w:tc>
      </w:tr>
    </w:tbl>
    <w:p>
      <w:r>
        <w:rPr>
          <w:rFonts w:ascii="Calibri" w:hAnsi="Calibri"/>
          <w:b/>
          <w:color w:val="525866"/>
          <w:sz w:val="22"/>
        </w:rPr>
        <w:t>KPI 2: Long-Term Net Flows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FY2026 (Mar 2026)</w:t>
            </w:r>
          </w:p>
        </w:tc>
        <w:tc>
          <w:tcPr>
            <w:tcW w:type="dxa" w:w="1728"/>
          </w:tcPr>
          <w:p>
            <w:r>
              <w:rPr>
                <w:rFonts w:ascii="Calibri" w:hAnsi="Calibri"/>
                <w:sz w:val="22"/>
              </w:rPr>
              <w:t>$16.9B</w:t>
            </w:r>
          </w:p>
        </w:tc>
        <w:tc>
          <w:tcPr>
            <w:tcW w:type="dxa" w:w="1728"/>
          </w:tcPr>
          <w:p>
            <w:r>
              <w:rPr>
                <w:rFonts w:ascii="Calibri" w:hAnsi="Calibri"/>
                <w:sz w:val="22"/>
              </w:rPr>
              <w:t>$16.8B</w:t>
            </w:r>
          </w:p>
        </w:tc>
        <w:tc>
          <w:tcPr>
            <w:tcW w:type="dxa" w:w="1728"/>
          </w:tcPr>
          <w:p>
            <w:r>
              <w:rPr>
                <w:rFonts w:ascii="Calibri" w:hAnsi="Calibri"/>
                <w:sz w:val="22"/>
              </w:rPr>
              <w:t>+0.6%</w:t>
            </w:r>
          </w:p>
        </w:tc>
        <w:tc>
          <w:tcPr>
            <w:tcW w:type="dxa" w:w="1728"/>
          </w:tcPr>
          <w:p>
            <w:r>
              <w:rPr>
                <w:rFonts w:ascii="Calibri" w:hAnsi="Calibri"/>
                <w:sz w:val="22"/>
              </w:rPr>
              <w:t>In-Line</w:t>
            </w:r>
          </w:p>
        </w:tc>
      </w:tr>
      <w:tr>
        <w:tc>
          <w:tcPr>
            <w:tcW w:type="dxa" w:w="1728"/>
          </w:tcPr>
          <w:p>
            <w:r>
              <w:rPr>
                <w:rFonts w:ascii="Calibri" w:hAnsi="Calibri"/>
                <w:sz w:val="22"/>
              </w:rPr>
              <w:t>Q1 FY2026 (Dec 2025)</w:t>
            </w:r>
          </w:p>
        </w:tc>
        <w:tc>
          <w:tcPr>
            <w:tcW w:type="dxa" w:w="1728"/>
          </w:tcPr>
          <w:p>
            <w:r>
              <w:rPr>
                <w:rFonts w:ascii="Calibri" w:hAnsi="Calibri"/>
                <w:sz w:val="22"/>
              </w:rPr>
              <w:t>$28.0B</w:t>
            </w:r>
          </w:p>
        </w:tc>
        <w:tc>
          <w:tcPr>
            <w:tcW w:type="dxa" w:w="1728"/>
          </w:tcPr>
          <w:p>
            <w:r>
              <w:rPr>
                <w:rFonts w:ascii="Calibri" w:hAnsi="Calibri"/>
                <w:sz w:val="22"/>
              </w:rPr>
              <w:t>$16.6B</w:t>
            </w:r>
          </w:p>
        </w:tc>
        <w:tc>
          <w:tcPr>
            <w:tcW w:type="dxa" w:w="1728"/>
          </w:tcPr>
          <w:p>
            <w:r>
              <w:rPr>
                <w:rFonts w:ascii="Calibri" w:hAnsi="Calibri"/>
                <w:b/>
                <w:color w:val="30A46C"/>
                <w:sz w:val="22"/>
              </w:rPr>
              <w:t>+69%</w:t>
            </w:r>
          </w:p>
        </w:tc>
        <w:tc>
          <w:tcPr>
            <w:tcW w:type="dxa" w:w="1728"/>
          </w:tcPr>
          <w:p>
            <w:r>
              <w:rPr>
                <w:rFonts w:ascii="Calibri" w:hAnsi="Calibri"/>
                <w:sz w:val="22"/>
              </w:rPr>
              <w:t>Massive Beat</w:t>
            </w:r>
          </w:p>
        </w:tc>
      </w:tr>
      <w:tr>
        <w:tc>
          <w:tcPr>
            <w:tcW w:type="dxa" w:w="1728"/>
          </w:tcPr>
          <w:p>
            <w:r>
              <w:rPr>
                <w:rFonts w:ascii="Calibri" w:hAnsi="Calibri"/>
                <w:sz w:val="22"/>
              </w:rPr>
              <w:t>Q4 FY2025 (Sep 2025)</w:t>
            </w:r>
          </w:p>
        </w:tc>
        <w:tc>
          <w:tcPr>
            <w:tcW w:type="dxa" w:w="1728"/>
          </w:tcPr>
          <w:p>
            <w:r>
              <w:rPr>
                <w:rFonts w:ascii="Calibri" w:hAnsi="Calibri"/>
                <w:sz w:val="22"/>
              </w:rPr>
              <w:t>-$11.9B</w:t>
            </w:r>
          </w:p>
        </w:tc>
        <w:tc>
          <w:tcPr>
            <w:tcW w:type="dxa" w:w="1728"/>
          </w:tcPr>
          <w:p>
            <w:r>
              <w:rPr>
                <w:rFonts w:ascii="Calibri" w:hAnsi="Calibri"/>
                <w:sz w:val="22"/>
              </w:rPr>
              <w:t>-$10.8B</w:t>
            </w:r>
          </w:p>
        </w:tc>
        <w:tc>
          <w:tcPr>
            <w:tcW w:type="dxa" w:w="1728"/>
          </w:tcPr>
          <w:p>
            <w:r>
              <w:rPr>
                <w:rFonts w:ascii="Calibri" w:hAnsi="Calibri"/>
                <w:b/>
                <w:color w:val="E5484D"/>
                <w:sz w:val="22"/>
              </w:rPr>
              <w:t>-9.8%</w:t>
            </w:r>
          </w:p>
        </w:tc>
        <w:tc>
          <w:tcPr>
            <w:tcW w:type="dxa" w:w="1728"/>
          </w:tcPr>
          <w:p>
            <w:r>
              <w:rPr>
                <w:rFonts w:ascii="Calibri" w:hAnsi="Calibri"/>
                <w:sz w:val="22"/>
              </w:rPr>
              <w:t>Miss (worse outflows)</w:t>
            </w:r>
          </w:p>
        </w:tc>
      </w:tr>
      <w:tr>
        <w:tc>
          <w:tcPr>
            <w:tcW w:type="dxa" w:w="1728"/>
          </w:tcPr>
          <w:p>
            <w:r>
              <w:rPr>
                <w:rFonts w:ascii="Calibri" w:hAnsi="Calibri"/>
                <w:sz w:val="22"/>
              </w:rPr>
              <w:t>Q3 FY2025 (Jun 2025)</w:t>
            </w:r>
          </w:p>
        </w:tc>
        <w:tc>
          <w:tcPr>
            <w:tcW w:type="dxa" w:w="1728"/>
          </w:tcPr>
          <w:p>
            <w:r>
              <w:rPr>
                <w:rFonts w:ascii="Calibri" w:hAnsi="Calibri"/>
                <w:sz w:val="22"/>
              </w:rPr>
              <w:t>-$9.3B</w:t>
            </w:r>
          </w:p>
        </w:tc>
        <w:tc>
          <w:tcPr>
            <w:tcW w:type="dxa" w:w="1728"/>
          </w:tcPr>
          <w:p>
            <w:r>
              <w:rPr>
                <w:rFonts w:ascii="Calibri" w:hAnsi="Calibri"/>
                <w:sz w:val="22"/>
              </w:rPr>
              <w:t>-$9.9B</w:t>
            </w:r>
          </w:p>
        </w:tc>
        <w:tc>
          <w:tcPr>
            <w:tcW w:type="dxa" w:w="1728"/>
          </w:tcPr>
          <w:p>
            <w:r>
              <w:rPr>
                <w:rFonts w:ascii="Calibri" w:hAnsi="Calibri"/>
                <w:b/>
                <w:color w:val="30A46C"/>
                <w:sz w:val="22"/>
              </w:rPr>
              <w:t>+6.5%</w:t>
            </w:r>
          </w:p>
        </w:tc>
        <w:tc>
          <w:tcPr>
            <w:tcW w:type="dxa" w:w="1728"/>
          </w:tcPr>
          <w:p>
            <w:r>
              <w:rPr>
                <w:rFonts w:ascii="Calibri" w:hAnsi="Calibri"/>
                <w:sz w:val="22"/>
              </w:rPr>
              <w:t>Beat (less outflows)</w:t>
            </w:r>
          </w:p>
        </w:tc>
      </w:tr>
      <w:tr>
        <w:tc>
          <w:tcPr>
            <w:tcW w:type="dxa" w:w="1728"/>
          </w:tcPr>
          <w:p>
            <w:r>
              <w:rPr>
                <w:rFonts w:ascii="Calibri" w:hAnsi="Calibri"/>
                <w:sz w:val="22"/>
              </w:rPr>
              <w:t>Q2 FY2025 (Mar 2025)</w:t>
            </w:r>
          </w:p>
        </w:tc>
        <w:tc>
          <w:tcPr>
            <w:tcW w:type="dxa" w:w="1728"/>
          </w:tcPr>
          <w:p>
            <w:r>
              <w:rPr>
                <w:rFonts w:ascii="Calibri" w:hAnsi="Calibri"/>
                <w:sz w:val="22"/>
              </w:rPr>
              <w:t>-$26.2B</w:t>
            </w:r>
          </w:p>
        </w:tc>
        <w:tc>
          <w:tcPr>
            <w:tcW w:type="dxa" w:w="1728"/>
          </w:tcPr>
          <w:p>
            <w:r>
              <w:rPr>
                <w:rFonts w:ascii="Calibri" w:hAnsi="Calibri"/>
                <w:sz w:val="22"/>
              </w:rPr>
              <w:t>-$28.1B</w:t>
            </w:r>
          </w:p>
        </w:tc>
        <w:tc>
          <w:tcPr>
            <w:tcW w:type="dxa" w:w="1728"/>
          </w:tcPr>
          <w:p>
            <w:r>
              <w:rPr>
                <w:rFonts w:ascii="Calibri" w:hAnsi="Calibri"/>
                <w:b/>
                <w:color w:val="30A46C"/>
                <w:sz w:val="22"/>
              </w:rPr>
              <w:t>+6.8%</w:t>
            </w:r>
          </w:p>
        </w:tc>
        <w:tc>
          <w:tcPr>
            <w:tcW w:type="dxa" w:w="1728"/>
          </w:tcPr>
          <w:p>
            <w:r>
              <w:rPr>
                <w:rFonts w:ascii="Calibri" w:hAnsi="Calibri"/>
                <w:sz w:val="22"/>
              </w:rPr>
              <w:t>Beat (less outflows)</w:t>
            </w:r>
          </w:p>
        </w:tc>
      </w:tr>
      <w:tr>
        <w:tc>
          <w:tcPr>
            <w:tcW w:type="dxa" w:w="1728"/>
          </w:tcPr>
          <w:p>
            <w:r>
              <w:rPr>
                <w:rFonts w:ascii="Calibri" w:hAnsi="Calibri"/>
                <w:sz w:val="22"/>
              </w:rPr>
              <w:t>Q1 FY2025 (Dec 2024)</w:t>
            </w:r>
          </w:p>
        </w:tc>
        <w:tc>
          <w:tcPr>
            <w:tcW w:type="dxa" w:w="1728"/>
          </w:tcPr>
          <w:p>
            <w:r>
              <w:rPr>
                <w:rFonts w:ascii="Calibri" w:hAnsi="Calibri"/>
                <w:sz w:val="22"/>
              </w:rPr>
              <w:t>-$50.0B</w:t>
            </w:r>
          </w:p>
        </w:tc>
        <w:tc>
          <w:tcPr>
            <w:tcW w:type="dxa" w:w="1728"/>
          </w:tcPr>
          <w:p>
            <w:r>
              <w:rPr>
                <w:rFonts w:ascii="Calibri" w:hAnsi="Calibri"/>
                <w:sz w:val="22"/>
              </w:rPr>
              <w:t>-$50.2B</w:t>
            </w:r>
          </w:p>
        </w:tc>
        <w:tc>
          <w:tcPr>
            <w:tcW w:type="dxa" w:w="1728"/>
          </w:tcPr>
          <w:p>
            <w:r>
              <w:rPr>
                <w:rFonts w:ascii="Calibri" w:hAnsi="Calibri"/>
                <w:sz w:val="22"/>
              </w:rPr>
              <w:t>+0.4%</w:t>
            </w:r>
          </w:p>
        </w:tc>
        <w:tc>
          <w:tcPr>
            <w:tcW w:type="dxa" w:w="1728"/>
          </w:tcPr>
          <w:p>
            <w:r>
              <w:rPr>
                <w:rFonts w:ascii="Calibri" w:hAnsi="Calibri"/>
                <w:sz w:val="22"/>
              </w:rPr>
              <w:t>In-Line</w:t>
            </w:r>
          </w:p>
        </w:tc>
      </w:tr>
      <w:tr>
        <w:tc>
          <w:tcPr>
            <w:tcW w:type="dxa" w:w="1728"/>
          </w:tcPr>
          <w:p>
            <w:r>
              <w:rPr>
                <w:rFonts w:ascii="Calibri" w:hAnsi="Calibri"/>
                <w:sz w:val="22"/>
              </w:rPr>
              <w:t>Q4 FY2024 (Sep 2024)</w:t>
            </w:r>
          </w:p>
        </w:tc>
        <w:tc>
          <w:tcPr>
            <w:tcW w:type="dxa" w:w="1728"/>
          </w:tcPr>
          <w:p>
            <w:r>
              <w:rPr>
                <w:rFonts w:ascii="Calibri" w:hAnsi="Calibri"/>
                <w:sz w:val="22"/>
              </w:rPr>
              <w:t>-$31.3B</w:t>
            </w:r>
          </w:p>
        </w:tc>
        <w:tc>
          <w:tcPr>
            <w:tcW w:type="dxa" w:w="1728"/>
          </w:tcPr>
          <w:p>
            <w:r>
              <w:rPr>
                <w:rFonts w:ascii="Calibri" w:hAnsi="Calibri"/>
                <w:sz w:val="22"/>
              </w:rPr>
              <w:t>-$29.3B</w:t>
            </w:r>
          </w:p>
        </w:tc>
        <w:tc>
          <w:tcPr>
            <w:tcW w:type="dxa" w:w="1728"/>
          </w:tcPr>
          <w:p>
            <w:r>
              <w:rPr>
                <w:rFonts w:ascii="Calibri" w:hAnsi="Calibri"/>
                <w:b/>
                <w:color w:val="E5484D"/>
                <w:sz w:val="22"/>
              </w:rPr>
              <w:t>-6.8%</w:t>
            </w:r>
          </w:p>
        </w:tc>
        <w:tc>
          <w:tcPr>
            <w:tcW w:type="dxa" w:w="1728"/>
          </w:tcPr>
          <w:p>
            <w:r>
              <w:rPr>
                <w:rFonts w:ascii="Calibri" w:hAnsi="Calibri"/>
                <w:sz w:val="22"/>
              </w:rPr>
              <w:t>Miss (worse outflows)</w:t>
            </w:r>
          </w:p>
        </w:tc>
      </w:tr>
      <w:tr>
        <w:tc>
          <w:tcPr>
            <w:tcW w:type="dxa" w:w="1728"/>
          </w:tcPr>
          <w:p>
            <w:r>
              <w:rPr>
                <w:rFonts w:ascii="Calibri" w:hAnsi="Calibri"/>
                <w:sz w:val="22"/>
              </w:rPr>
              <w:t>Q3 FY2024 (Jun 2024)</w:t>
            </w:r>
          </w:p>
        </w:tc>
        <w:tc>
          <w:tcPr>
            <w:tcW w:type="dxa" w:w="1728"/>
          </w:tcPr>
          <w:p>
            <w:r>
              <w:rPr>
                <w:rFonts w:ascii="Calibri" w:hAnsi="Calibri"/>
                <w:sz w:val="22"/>
              </w:rPr>
              <w:t>-$3.2B</w:t>
            </w:r>
          </w:p>
        </w:tc>
        <w:tc>
          <w:tcPr>
            <w:tcW w:type="dxa" w:w="1728"/>
          </w:tcPr>
          <w:p>
            <w:r>
              <w:rPr>
                <w:rFonts w:ascii="Calibri" w:hAnsi="Calibri"/>
                <w:sz w:val="22"/>
              </w:rPr>
              <w:t>-$3.3B</w:t>
            </w:r>
          </w:p>
        </w:tc>
        <w:tc>
          <w:tcPr>
            <w:tcW w:type="dxa" w:w="1728"/>
          </w:tcPr>
          <w:p>
            <w:r>
              <w:rPr>
                <w:rFonts w:ascii="Calibri" w:hAnsi="Calibri"/>
                <w:b/>
                <w:color w:val="30A46C"/>
                <w:sz w:val="22"/>
              </w:rPr>
              <w:t>+3.0%</w:t>
            </w:r>
          </w:p>
        </w:tc>
        <w:tc>
          <w:tcPr>
            <w:tcW w:type="dxa" w:w="1728"/>
          </w:tcPr>
          <w:p>
            <w:r>
              <w:rPr>
                <w:rFonts w:ascii="Calibri" w:hAnsi="Calibri"/>
                <w:sz w:val="22"/>
              </w:rPr>
              <w:t>Beat (less outflows)</w:t>
            </w:r>
          </w:p>
        </w:tc>
      </w:tr>
    </w:tbl>
    <w:p>
      <w:r>
        <w:rPr>
          <w:rFonts w:ascii="Calibri" w:hAnsi="Calibri"/>
          <w:b/>
          <w:color w:val="525866"/>
          <w:sz w:val="22"/>
        </w:rPr>
        <w:t xml:space="preserve">Pattern: </w:t>
      </w:r>
      <w:r>
        <w:rPr>
          <w:rFonts w:ascii="Calibri" w:hAnsi="Calibri"/>
          <w:color w:val="525866"/>
          <w:sz w:val="22"/>
        </w:rPr>
        <w:t>BEN has beaten or matched EPS consensus in 7 of the last 8 quarters, with the two most recent beats of ~29% each driven by operating leverage and alternatives fee ramp. On long-term net flows, the Q1 FY2026 beat (+69%) was an outlier driven by record gross sales; the street has since recalibrated, and Q3 consensus of ~$18B appears achievable given the institutional pipeline of $20.2B won-but-unfunded and continued multi-asset/ETF momentum.</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April 28 earnings call, but management's tone was explicitly confident — the firm is "ahead of plan" on margins and expects to exceed the $30B upper end of its alternatives fundraising target. No post-earnings 8-K or conference has changed the numbers.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Apr 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FY2026 Effective Fee Rate</w:t>
            </w:r>
          </w:p>
        </w:tc>
        <w:tc>
          <w:tcPr>
            <w:tcW w:type="dxa" w:w="1728"/>
          </w:tcPr>
          <w:p>
            <w:r>
              <w:rPr>
                <w:rFonts w:ascii="Calibri" w:hAnsi="Calibri"/>
                <w:sz w:val="22"/>
              </w:rPr>
              <w:t>Mid-to-high 37s bps (consistent with Q2)</w:t>
            </w:r>
          </w:p>
        </w:tc>
        <w:tc>
          <w:tcPr>
            <w:tcW w:type="dxa" w:w="1728"/>
          </w:tcPr>
          <w:p>
            <w:r>
              <w:rPr>
                <w:rFonts w:ascii="Calibri" w:hAnsi="Calibri"/>
                <w:sz w:val="22"/>
              </w:rPr>
              <w:t>—</w:t>
            </w:r>
          </w:p>
        </w:tc>
        <w:tc>
          <w:tcPr>
            <w:tcW w:type="dxa" w:w="1728"/>
          </w:tcPr>
          <w:p>
            <w:r>
              <w:rPr>
                <w:rFonts w:ascii="Calibri" w:hAnsi="Calibri"/>
                <w:sz w:val="22"/>
              </w:rPr>
              <w:t>Implied by $1,782.8M revenue consensus on ~$1.79T avg AUM</w:t>
            </w:r>
          </w:p>
        </w:tc>
        <w:tc>
          <w:tcPr>
            <w:tcW w:type="dxa" w:w="1728"/>
          </w:tcPr>
          <w:p>
            <w:r>
              <w:rPr>
                <w:rFonts w:ascii="Calibri" w:hAnsi="Calibri"/>
                <w:sz w:val="22"/>
              </w:rPr>
              <w:t>Unchanged; stable fee rate signals no mix headwind expected</w:t>
            </w:r>
          </w:p>
        </w:tc>
      </w:tr>
      <w:tr>
        <w:tc>
          <w:tcPr>
            <w:tcW w:type="dxa" w:w="1728"/>
          </w:tcPr>
          <w:p>
            <w:r>
              <w:rPr>
                <w:rFonts w:ascii="Calibri" w:hAnsi="Calibri"/>
                <w:sz w:val="22"/>
              </w:rPr>
              <w:t>Q3 FY2026 Compensation</w:t>
            </w:r>
          </w:p>
        </w:tc>
        <w:tc>
          <w:tcPr>
            <w:tcW w:type="dxa" w:w="1728"/>
          </w:tcPr>
          <w:p>
            <w:r>
              <w:rPr>
                <w:rFonts w:ascii="Calibri" w:hAnsi="Calibri"/>
                <w:sz w:val="22"/>
              </w:rPr>
              <w:t>$830M (assumes $50M perf. fees at 55% payout)</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Unchanged; explicit line-item guide provides cost visibility</w:t>
            </w:r>
          </w:p>
        </w:tc>
      </w:tr>
      <w:tr>
        <w:tc>
          <w:tcPr>
            <w:tcW w:type="dxa" w:w="1728"/>
          </w:tcPr>
          <w:p>
            <w:r>
              <w:rPr>
                <w:rFonts w:ascii="Calibri" w:hAnsi="Calibri"/>
                <w:sz w:val="22"/>
              </w:rPr>
              <w:t>Q3 FY2026 G&amp;A</w:t>
            </w:r>
          </w:p>
        </w:tc>
        <w:tc>
          <w:tcPr>
            <w:tcW w:type="dxa" w:w="1728"/>
          </w:tcPr>
          <w:p>
            <w:r>
              <w:rPr>
                <w:rFonts w:ascii="Calibri" w:hAnsi="Calibri"/>
                <w:sz w:val="22"/>
              </w:rPr>
              <w:t>$210–215M (incl. ~$23–25M fundraising fees, ~$9–10M advertising)</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Elevated vs. prior quarters due to fundraising activity; signals active alternatives pipeline</w:t>
            </w:r>
          </w:p>
        </w:tc>
      </w:tr>
      <w:tr>
        <w:tc>
          <w:tcPr>
            <w:tcW w:type="dxa" w:w="1728"/>
          </w:tcPr>
          <w:p>
            <w:r>
              <w:rPr>
                <w:rFonts w:ascii="Calibri" w:hAnsi="Calibri"/>
                <w:sz w:val="22"/>
              </w:rPr>
              <w:t>Q3 FY2026 IS&amp;T</w:t>
            </w:r>
          </w:p>
        </w:tc>
        <w:tc>
          <w:tcPr>
            <w:tcW w:type="dxa" w:w="1728"/>
          </w:tcPr>
          <w:p>
            <w:r>
              <w:rPr>
                <w:rFonts w:ascii="Calibri" w:hAnsi="Calibri"/>
                <w:sz w:val="22"/>
              </w:rPr>
              <w:t>$155M (slightly above Q2 due to AI investments)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AI investment spend explicitly called out; modest headwind to margins</w:t>
            </w:r>
          </w:p>
        </w:tc>
      </w:tr>
      <w:tr>
        <w:tc>
          <w:tcPr>
            <w:tcW w:type="dxa" w:w="1728"/>
          </w:tcPr>
          <w:p>
            <w:r>
              <w:rPr>
                <w:rFonts w:ascii="Calibri" w:hAnsi="Calibri"/>
                <w:sz w:val="22"/>
              </w:rPr>
              <w:t>Q4 FY2026 Operating Margin</w:t>
            </w:r>
          </w:p>
        </w:tc>
        <w:tc>
          <w:tcPr>
            <w:tcW w:type="dxa" w:w="1728"/>
          </w:tcPr>
          <w:p>
            <w:r>
              <w:rPr>
                <w:rFonts w:ascii="Calibri" w:hAnsi="Calibri"/>
                <w:sz w:val="22"/>
              </w:rPr>
              <w:t>High-29s (%)</w:t>
            </w:r>
          </w:p>
        </w:tc>
        <w:tc>
          <w:tcPr>
            <w:tcW w:type="dxa" w:w="1728"/>
          </w:tcPr>
          <w:p>
            <w:r>
              <w:rPr>
                <w:rFonts w:ascii="Calibri" w:hAnsi="Calibri"/>
                <w:sz w:val="22"/>
              </w:rPr>
              <w:t>—</w:t>
            </w:r>
          </w:p>
        </w:tc>
        <w:tc>
          <w:tcPr>
            <w:tcW w:type="dxa" w:w="1728"/>
          </w:tcPr>
          <w:p>
            <w:r>
              <w:rPr>
                <w:rFonts w:ascii="Calibri" w:hAnsi="Calibri"/>
                <w:sz w:val="22"/>
              </w:rPr>
              <w:t>Implied by FY2026 consensus operating income of $1,959.5M on $7,151.8M revenue (~27.4%)</w:t>
            </w:r>
          </w:p>
        </w:tc>
        <w:tc>
          <w:tcPr>
            <w:tcW w:type="dxa" w:w="1728"/>
          </w:tcPr>
          <w:p>
            <w:r>
              <w:rPr>
                <w:rFonts w:ascii="Calibri" w:hAnsi="Calibri"/>
                <w:sz w:val="22"/>
              </w:rPr>
              <w:t>Reiterated as "ahead of plan"; Q4 exit rate is the key margin milestone</w:t>
            </w:r>
          </w:p>
        </w:tc>
      </w:tr>
      <w:tr>
        <w:tc>
          <w:tcPr>
            <w:tcW w:type="dxa" w:w="1728"/>
          </w:tcPr>
          <w:p>
            <w:r>
              <w:rPr>
                <w:rFonts w:ascii="Calibri" w:hAnsi="Calibri"/>
                <w:sz w:val="22"/>
              </w:rPr>
              <w:t>FY2026 Operating Margin</w:t>
            </w:r>
          </w:p>
        </w:tc>
        <w:tc>
          <w:tcPr>
            <w:tcW w:type="dxa" w:w="1728"/>
          </w:tcPr>
          <w:p>
            <w:r>
              <w:rPr>
                <w:rFonts w:ascii="Calibri" w:hAnsi="Calibri"/>
                <w:sz w:val="22"/>
              </w:rPr>
              <w:t>High-27s (%)</w:t>
            </w:r>
          </w:p>
        </w:tc>
        <w:tc>
          <w:tcPr>
            <w:tcW w:type="dxa" w:w="1728"/>
          </w:tcPr>
          <w:p>
            <w:r>
              <w:rPr>
                <w:rFonts w:ascii="Calibri" w:hAnsi="Calibri"/>
                <w:sz w:val="22"/>
              </w:rPr>
              <w:t>—</w:t>
            </w:r>
          </w:p>
        </w:tc>
        <w:tc>
          <w:tcPr>
            <w:tcW w:type="dxa" w:w="1728"/>
          </w:tcPr>
          <w:p>
            <w:r>
              <w:rPr>
                <w:rFonts w:ascii="Calibri" w:hAnsi="Calibri"/>
                <w:sz w:val="22"/>
              </w:rPr>
              <w:t>~27.4% implied by consensus</w:t>
            </w:r>
          </w:p>
        </w:tc>
        <w:tc>
          <w:tcPr>
            <w:tcW w:type="dxa" w:w="1728"/>
          </w:tcPr>
          <w:p>
            <w:r>
              <w:rPr>
                <w:rFonts w:ascii="Calibri" w:hAnsi="Calibri"/>
                <w:sz w:val="22"/>
              </w:rPr>
              <w:t>Consensus tracking in-line with guidance</w:t>
            </w:r>
          </w:p>
        </w:tc>
      </w:tr>
      <w:tr>
        <w:tc>
          <w:tcPr>
            <w:tcW w:type="dxa" w:w="1728"/>
          </w:tcPr>
          <w:p>
            <w:r>
              <w:rPr>
                <w:rFonts w:ascii="Calibri" w:hAnsi="Calibri"/>
                <w:sz w:val="22"/>
              </w:rPr>
              <w:t>FY2027 Operating Margin</w:t>
            </w:r>
          </w:p>
        </w:tc>
        <w:tc>
          <w:tcPr>
            <w:tcW w:type="dxa" w:w="1728"/>
          </w:tcPr>
          <w:p>
            <w:r>
              <w:rPr>
                <w:rFonts w:ascii="Calibri" w:hAnsi="Calibri"/>
                <w:sz w:val="22"/>
              </w:rPr>
              <w:t>30%+ target</w:t>
            </w:r>
          </w:p>
        </w:tc>
        <w:tc>
          <w:tcPr>
            <w:tcW w:type="dxa" w:w="1728"/>
          </w:tcPr>
          <w:p>
            <w:r>
              <w:rPr>
                <w:rFonts w:ascii="Calibri" w:hAnsi="Calibri"/>
                <w:sz w:val="22"/>
              </w:rPr>
              <w:t>—</w:t>
            </w:r>
          </w:p>
        </w:tc>
        <w:tc>
          <w:tcPr>
            <w:tcW w:type="dxa" w:w="1728"/>
          </w:tcPr>
          <w:p>
            <w:r>
              <w:rPr>
                <w:rFonts w:ascii="Calibri" w:hAnsi="Calibri"/>
                <w:sz w:val="22"/>
              </w:rPr>
              <w:t>~29.8% implied by FY2027 consensus ($2,317.3M / $7,766.1M)</w:t>
            </w:r>
          </w:p>
        </w:tc>
        <w:tc>
          <w:tcPr>
            <w:tcW w:type="dxa" w:w="1728"/>
          </w:tcPr>
          <w:p>
            <w:r>
              <w:rPr>
                <w:rFonts w:ascii="Calibri" w:hAnsi="Calibri"/>
                <w:sz w:val="22"/>
              </w:rPr>
              <w:t>Consensus just below 30% target; upside if fundraising fees normalize</w:t>
            </w:r>
          </w:p>
        </w:tc>
      </w:tr>
      <w:tr>
        <w:tc>
          <w:tcPr>
            <w:tcW w:type="dxa" w:w="1728"/>
          </w:tcPr>
          <w:p>
            <w:r>
              <w:rPr>
                <w:rFonts w:ascii="Calibri" w:hAnsi="Calibri"/>
                <w:sz w:val="22"/>
              </w:rPr>
              <w:t>FY2026 Alternatives Fundraising</w:t>
            </w:r>
          </w:p>
        </w:tc>
        <w:tc>
          <w:tcPr>
            <w:tcW w:type="dxa" w:w="1728"/>
          </w:tcPr>
          <w:p>
            <w:r>
              <w:rPr>
                <w:rFonts w:ascii="Calibri" w:hAnsi="Calibri"/>
                <w:sz w:val="22"/>
              </w:rPr>
              <w:t>$25–30B target; management expects to exceed $30B</w:t>
            </w:r>
          </w:p>
        </w:tc>
        <w:tc>
          <w:tcPr>
            <w:tcW w:type="dxa" w:w="1728"/>
          </w:tcPr>
          <w:p>
            <w:r>
              <w:rPr>
                <w:rFonts w:ascii="Calibri" w:hAnsi="Calibri"/>
                <w:sz w:val="22"/>
              </w:rPr>
              <w:t>—</w:t>
            </w:r>
          </w:p>
        </w:tc>
        <w:tc>
          <w:tcPr>
            <w:tcW w:type="dxa" w:w="1728"/>
          </w:tcPr>
          <w:p>
            <w:r>
              <w:rPr>
                <w:rFonts w:ascii="Calibri" w:hAnsi="Calibri"/>
                <w:sz w:val="22"/>
              </w:rPr>
              <w:t>FY-to-date $22.7B through Q2; Q3 consensus alts flows ~$9.5B</w:t>
            </w:r>
          </w:p>
        </w:tc>
        <w:tc>
          <w:tcPr>
            <w:tcW w:type="dxa" w:w="1728"/>
          </w:tcPr>
          <w:p>
            <w:r>
              <w:rPr>
                <w:rFonts w:ascii="Calibri" w:hAnsi="Calibri"/>
                <w:sz w:val="22"/>
              </w:rPr>
              <w:t>On track to exceed $30B; Lexington flagship update expected late 2026</w:t>
            </w:r>
          </w:p>
        </w:tc>
      </w:tr>
      <w:tr>
        <w:tc>
          <w:tcPr>
            <w:tcW w:type="dxa" w:w="1728"/>
          </w:tcPr>
          <w:p>
            <w:r>
              <w:rPr>
                <w:rFonts w:ascii="Calibri" w:hAnsi="Calibri"/>
                <w:sz w:val="22"/>
              </w:rPr>
              <w:t>FY2026 Total Expenses</w:t>
            </w:r>
          </w:p>
        </w:tc>
        <w:tc>
          <w:tcPr>
            <w:tcW w:type="dxa" w:w="1728"/>
          </w:tcPr>
          <w:p>
            <w:r>
              <w:rPr>
                <w:rFonts w:ascii="Calibri" w:hAnsi="Calibri"/>
                <w:sz w:val="22"/>
              </w:rPr>
              <w:t>~1.5% above FY2025 (excl. perf. fees)</w:t>
            </w:r>
          </w:p>
        </w:tc>
        <w:tc>
          <w:tcPr>
            <w:tcW w:type="dxa" w:w="1728"/>
          </w:tcPr>
          <w:p>
            <w:r>
              <w:rPr>
                <w:rFonts w:ascii="Calibri" w:hAnsi="Calibri"/>
                <w:sz w:val="22"/>
              </w:rPr>
              <w:t>—</w:t>
            </w:r>
          </w:p>
        </w:tc>
        <w:tc>
          <w:tcPr>
            <w:tcW w:type="dxa" w:w="1728"/>
          </w:tcPr>
          <w:p>
            <w:r>
              <w:rPr>
                <w:rFonts w:ascii="Calibri" w:hAnsi="Calibri"/>
                <w:sz w:val="22"/>
              </w:rPr>
              <w:t>Implied by consensus revenue/margin</w:t>
            </w:r>
          </w:p>
        </w:tc>
        <w:tc>
          <w:tcPr>
            <w:tcW w:type="dxa" w:w="1728"/>
          </w:tcPr>
          <w:p>
            <w:r>
              <w:rPr>
                <w:rFonts w:ascii="Calibri" w:hAnsi="Calibri"/>
                <w:sz w:val="22"/>
              </w:rPr>
              <w:t>Voluntary buyout program included; cost discipline intact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post-Q2 baseline — FY2026 EPS is up ~2.5% and FY2027 EPS up ~5.4% from the 5-day post-print baseline — suggesting the street is gradually pricing in the alternatives ramp and margin expansion story, but has not yet fully capitulated to management's above-$30B fundraising confidence.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(May 5, 2026 — 5 days post Q2 print)</w:t>
            </w:r>
          </w:p>
        </w:tc>
        <w:tc>
          <w:tcPr>
            <w:tcW w:type="dxa" w:w="1080"/>
            <w:shd w:val="clear" w:color="auto" w:fill="3B4259"/>
          </w:tcPr>
          <w:p>
            <w:r>
              <w:rPr>
                <w:rFonts w:ascii="Calibri" w:hAnsi="Calibri"/>
                <w:b/>
                <w:color w:val="FFFFFF"/>
                <w:sz w:val="22"/>
              </w:rPr>
              <w:t>Current Consensus (Jul 30,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Adj. EPS — Q3 FY2026</w:t>
            </w:r>
          </w:p>
        </w:tc>
        <w:tc>
          <w:tcPr>
            <w:tcW w:type="dxa" w:w="1080"/>
          </w:tcPr>
          <w:p>
            <w:r>
              <w:rPr>
                <w:rFonts w:ascii="Calibri" w:hAnsi="Calibri"/>
                <w:sz w:val="22"/>
              </w:rPr>
              <w:t>$0.613</w:t>
            </w:r>
          </w:p>
        </w:tc>
        <w:tc>
          <w:tcPr>
            <w:tcW w:type="dxa" w:w="1080"/>
          </w:tcPr>
          <w:p>
            <w:r>
              <w:rPr>
                <w:rFonts w:ascii="Calibri" w:hAnsi="Calibri"/>
                <w:sz w:val="22"/>
              </w:rPr>
              <w:t>$0.658</w:t>
            </w:r>
          </w:p>
        </w:tc>
        <w:tc>
          <w:tcPr>
            <w:tcW w:type="dxa" w:w="1080"/>
          </w:tcPr>
          <w:p>
            <w:r>
              <w:rPr>
                <w:rFonts w:ascii="Calibri" w:hAnsi="Calibri"/>
                <w:b/>
                <w:color w:val="30A46C"/>
                <w:sz w:val="22"/>
              </w:rPr>
              <w:t>+7.3%</w:t>
            </w:r>
          </w:p>
        </w:tc>
        <w:tc>
          <w:tcPr>
            <w:tcW w:type="dxa" w:w="1080"/>
          </w:tcPr>
          <w:p>
            <w:r>
              <w:rPr>
                <w:rFonts w:ascii="Calibri" w:hAnsi="Calibri"/>
                <w:sz w:val="22"/>
              </w:rPr>
              <w:t>No explicit guide</w:t>
            </w:r>
          </w:p>
        </w:tc>
        <w:tc>
          <w:tcPr>
            <w:tcW w:type="dxa" w:w="1080"/>
          </w:tcPr>
          <w:p>
            <w:r>
              <w:rPr>
                <w:rFonts w:ascii="Calibri" w:hAnsi="Calibri"/>
                <w:sz w:val="22"/>
              </w:rPr>
              <w:t>No explicit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$2.741</w:t>
            </w:r>
          </w:p>
        </w:tc>
        <w:tc>
          <w:tcPr>
            <w:tcW w:type="dxa" w:w="1080"/>
          </w:tcPr>
          <w:p>
            <w:r>
              <w:rPr>
                <w:rFonts w:ascii="Calibri" w:hAnsi="Calibri"/>
                <w:sz w:val="22"/>
              </w:rPr>
              <w:t>$2.810</w:t>
            </w:r>
          </w:p>
        </w:tc>
        <w:tc>
          <w:tcPr>
            <w:tcW w:type="dxa" w:w="1080"/>
          </w:tcPr>
          <w:p>
            <w:r>
              <w:rPr>
                <w:rFonts w:ascii="Calibri" w:hAnsi="Calibri"/>
                <w:b/>
                <w:color w:val="30A46C"/>
                <w:sz w:val="22"/>
              </w:rPr>
              <w:t>+2.5%</w:t>
            </w:r>
          </w:p>
        </w:tc>
        <w:tc>
          <w:tcPr>
            <w:tcW w:type="dxa" w:w="1080"/>
          </w:tcPr>
          <w:p>
            <w:r>
              <w:rPr>
                <w:rFonts w:ascii="Calibri" w:hAnsi="Calibri"/>
                <w:sz w:val="22"/>
              </w:rPr>
              <w:t>No explicit guide</w:t>
            </w:r>
          </w:p>
        </w:tc>
        <w:tc>
          <w:tcPr>
            <w:tcW w:type="dxa" w:w="1080"/>
          </w:tcPr>
          <w:p>
            <w:r>
              <w:rPr>
                <w:rFonts w:ascii="Calibri" w:hAnsi="Calibri"/>
                <w:sz w:val="22"/>
              </w:rPr>
              <w:t>No explicit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FY2027</w:t>
            </w:r>
          </w:p>
        </w:tc>
        <w:tc>
          <w:tcPr>
            <w:tcW w:type="dxa" w:w="1080"/>
          </w:tcPr>
          <w:p>
            <w:r>
              <w:rPr>
                <w:rFonts w:ascii="Calibri" w:hAnsi="Calibri"/>
                <w:sz w:val="22"/>
              </w:rPr>
              <w:t>$2.953</w:t>
            </w:r>
          </w:p>
        </w:tc>
        <w:tc>
          <w:tcPr>
            <w:tcW w:type="dxa" w:w="1080"/>
          </w:tcPr>
          <w:p>
            <w:r>
              <w:rPr>
                <w:rFonts w:ascii="Calibri" w:hAnsi="Calibri"/>
                <w:sz w:val="22"/>
              </w:rPr>
              <w:t>$3.111</w:t>
            </w:r>
          </w:p>
        </w:tc>
        <w:tc>
          <w:tcPr>
            <w:tcW w:type="dxa" w:w="1080"/>
          </w:tcPr>
          <w:p>
            <w:r>
              <w:rPr>
                <w:rFonts w:ascii="Calibri" w:hAnsi="Calibri"/>
                <w:b/>
                <w:color w:val="30A46C"/>
                <w:sz w:val="22"/>
              </w:rPr>
              <w:t>+5.4%</w:t>
            </w:r>
          </w:p>
        </w:tc>
        <w:tc>
          <w:tcPr>
            <w:tcW w:type="dxa" w:w="1080"/>
          </w:tcPr>
          <w:p>
            <w:r>
              <w:rPr>
                <w:rFonts w:ascii="Calibri" w:hAnsi="Calibri"/>
                <w:sz w:val="22"/>
              </w:rPr>
              <w:t>30%+ margin target</w:t>
            </w:r>
          </w:p>
        </w:tc>
        <w:tc>
          <w:tcPr>
            <w:tcW w:type="dxa" w:w="1080"/>
          </w:tcPr>
          <w:p>
            <w:r>
              <w:rPr>
                <w:rFonts w:ascii="Calibri" w:hAnsi="Calibri"/>
                <w:sz w:val="22"/>
              </w:rPr>
              <w:t>30%+ margin target (unchanged)</w:t>
            </w:r>
          </w:p>
        </w:tc>
        <w:tc>
          <w:tcPr>
            <w:tcW w:type="dxa" w:w="1080"/>
          </w:tcPr>
          <w:p>
            <w:r>
              <w:rPr>
                <w:rFonts w:ascii="Calibri" w:hAnsi="Calibri"/>
                <w:sz w:val="22"/>
              </w:rPr>
              <w:t>Unchanged</w:t>
            </w:r>
          </w:p>
        </w:tc>
        <w:tc>
          <w:tcPr>
            <w:tcW w:type="dxa" w:w="1080"/>
          </w:tcPr>
          <w:p>
            <w:r>
              <w:rPr>
                <w:rFonts w:ascii="Calibri" w:hAnsi="Calibri"/>
                <w:sz w:val="22"/>
              </w:rPr>
              <w:t>Consensus ~29.8% margin — just below 30% target</w:t>
            </w:r>
          </w:p>
        </w:tc>
      </w:tr>
      <w:tr>
        <w:tc>
          <w:tcPr>
            <w:tcW w:type="dxa" w:w="1080"/>
          </w:tcPr>
          <w:p>
            <w:r>
              <w:rPr>
                <w:rFonts w:ascii="Calibri" w:hAnsi="Calibri"/>
                <w:sz w:val="22"/>
              </w:rPr>
              <w:t>Total Revenue — Q3 FY2026</w:t>
            </w:r>
          </w:p>
        </w:tc>
        <w:tc>
          <w:tcPr>
            <w:tcW w:type="dxa" w:w="1080"/>
          </w:tcPr>
          <w:p>
            <w:r>
              <w:rPr>
                <w:rFonts w:ascii="Calibri" w:hAnsi="Calibri"/>
                <w:sz w:val="22"/>
              </w:rPr>
              <w:t>$1,741.6M</w:t>
            </w:r>
          </w:p>
        </w:tc>
        <w:tc>
          <w:tcPr>
            <w:tcW w:type="dxa" w:w="1080"/>
          </w:tcPr>
          <w:p>
            <w:r>
              <w:rPr>
                <w:rFonts w:ascii="Calibri" w:hAnsi="Calibri"/>
                <w:sz w:val="22"/>
              </w:rPr>
              <w:t>$1,782.8M</w:t>
            </w:r>
          </w:p>
        </w:tc>
        <w:tc>
          <w:tcPr>
            <w:tcW w:type="dxa" w:w="1080"/>
          </w:tcPr>
          <w:p>
            <w:r>
              <w:rPr>
                <w:rFonts w:ascii="Calibri" w:hAnsi="Calibri"/>
                <w:b/>
                <w:color w:val="30A46C"/>
                <w:sz w:val="22"/>
              </w:rPr>
              <w:t>+2.4%</w:t>
            </w:r>
          </w:p>
        </w:tc>
        <w:tc>
          <w:tcPr>
            <w:tcW w:type="dxa" w:w="1080"/>
          </w:tcPr>
          <w:p>
            <w:r>
              <w:rPr>
                <w:rFonts w:ascii="Calibri" w:hAnsi="Calibri"/>
                <w:sz w:val="22"/>
              </w:rPr>
              <w:t>Fee rate mid-to-high 37s bps</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Consensus above implied floor</w:t>
            </w:r>
          </w:p>
        </w:tc>
      </w:tr>
      <w:tr>
        <w:tc>
          <w:tcPr>
            <w:tcW w:type="dxa" w:w="1080"/>
          </w:tcPr>
          <w:p>
            <w:r>
              <w:rPr>
                <w:rFonts w:ascii="Calibri" w:hAnsi="Calibri"/>
                <w:sz w:val="22"/>
              </w:rPr>
              <w:t>Total Revenue — FY2026</w:t>
            </w:r>
          </w:p>
        </w:tc>
        <w:tc>
          <w:tcPr>
            <w:tcW w:type="dxa" w:w="1080"/>
          </w:tcPr>
          <w:p>
            <w:r>
              <w:rPr>
                <w:rFonts w:ascii="Calibri" w:hAnsi="Calibri"/>
                <w:sz w:val="22"/>
              </w:rPr>
              <w:t>$7,052.4M</w:t>
            </w:r>
          </w:p>
        </w:tc>
        <w:tc>
          <w:tcPr>
            <w:tcW w:type="dxa" w:w="1080"/>
          </w:tcPr>
          <w:p>
            <w:r>
              <w:rPr>
                <w:rFonts w:ascii="Calibri" w:hAnsi="Calibri"/>
                <w:sz w:val="22"/>
              </w:rPr>
              <w:t>$7,151.8M</w:t>
            </w:r>
          </w:p>
        </w:tc>
        <w:tc>
          <w:tcPr>
            <w:tcW w:type="dxa" w:w="1080"/>
          </w:tcPr>
          <w:p>
            <w:r>
              <w:rPr>
                <w:rFonts w:ascii="Calibri" w:hAnsi="Calibri"/>
                <w:b/>
                <w:color w:val="30A46C"/>
                <w:sz w:val="22"/>
              </w:rPr>
              <w:t>+1.4%</w:t>
            </w:r>
          </w:p>
        </w:tc>
        <w:tc>
          <w:tcPr>
            <w:tcW w:type="dxa" w:w="1080"/>
          </w:tcPr>
          <w:p>
            <w:r>
              <w:rPr>
                <w:rFonts w:ascii="Calibri" w:hAnsi="Calibri"/>
                <w:sz w:val="22"/>
              </w:rPr>
              <w:t>Inv. mgmt. fees +6%+ YoY</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Tracking above guidance floor</w:t>
            </w:r>
          </w:p>
        </w:tc>
      </w:tr>
      <w:tr>
        <w:tc>
          <w:tcPr>
            <w:tcW w:type="dxa" w:w="1080"/>
          </w:tcPr>
          <w:p>
            <w:r>
              <w:rPr>
                <w:rFonts w:ascii="Calibri" w:hAnsi="Calibri"/>
                <w:sz w:val="22"/>
              </w:rPr>
              <w:t>LT Net Flows — Q3 FY2026</w:t>
            </w:r>
          </w:p>
        </w:tc>
        <w:tc>
          <w:tcPr>
            <w:tcW w:type="dxa" w:w="1080"/>
          </w:tcPr>
          <w:p>
            <w:r>
              <w:rPr>
                <w:rFonts w:ascii="Calibri" w:hAnsi="Calibri"/>
                <w:sz w:val="22"/>
              </w:rPr>
              <w:t>$6.7B</w:t>
            </w:r>
          </w:p>
        </w:tc>
        <w:tc>
          <w:tcPr>
            <w:tcW w:type="dxa" w:w="1080"/>
          </w:tcPr>
          <w:p>
            <w:r>
              <w:rPr>
                <w:rFonts w:ascii="Calibri" w:hAnsi="Calibri"/>
                <w:sz w:val="22"/>
              </w:rPr>
              <w:t>$18.0B</w:t>
            </w:r>
          </w:p>
        </w:tc>
        <w:tc>
          <w:tcPr>
            <w:tcW w:type="dxa" w:w="1080"/>
          </w:tcPr>
          <w:p>
            <w:r>
              <w:rPr>
                <w:rFonts w:ascii="Calibri" w:hAnsi="Calibri"/>
                <w:b/>
                <w:color w:val="30A46C"/>
                <w:sz w:val="22"/>
              </w:rPr>
              <w:t>+170%</w:t>
            </w:r>
          </w:p>
        </w:tc>
        <w:tc>
          <w:tcPr>
            <w:tcW w:type="dxa" w:w="1080"/>
          </w:tcPr>
          <w:p>
            <w:r>
              <w:rPr>
                <w:rFonts w:ascii="Calibri" w:hAnsi="Calibri"/>
                <w:sz w:val="22"/>
              </w:rPr>
              <w:t>No explicit target</w:t>
            </w:r>
          </w:p>
        </w:tc>
        <w:tc>
          <w:tcPr>
            <w:tcW w:type="dxa" w:w="1080"/>
          </w:tcPr>
          <w:p>
            <w:r>
              <w:rPr>
                <w:rFonts w:ascii="Calibri" w:hAnsi="Calibri"/>
                <w:sz w:val="22"/>
              </w:rPr>
              <w:t>No explicit target</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Alts Net Flows — Q3 FY2026</w:t>
            </w:r>
          </w:p>
        </w:tc>
        <w:tc>
          <w:tcPr>
            <w:tcW w:type="dxa" w:w="1080"/>
          </w:tcPr>
          <w:p>
            <w:r>
              <w:rPr>
                <w:rFonts w:ascii="Calibri" w:hAnsi="Calibri"/>
                <w:sz w:val="22"/>
              </w:rPr>
              <w:t>$6.9B</w:t>
            </w:r>
          </w:p>
        </w:tc>
        <w:tc>
          <w:tcPr>
            <w:tcW w:type="dxa" w:w="1080"/>
          </w:tcPr>
          <w:p>
            <w:r>
              <w:rPr>
                <w:rFonts w:ascii="Calibri" w:hAnsi="Calibri"/>
                <w:sz w:val="22"/>
              </w:rPr>
              <w:t>$9.5B</w:t>
            </w:r>
          </w:p>
        </w:tc>
        <w:tc>
          <w:tcPr>
            <w:tcW w:type="dxa" w:w="1080"/>
          </w:tcPr>
          <w:p>
            <w:r>
              <w:rPr>
                <w:rFonts w:ascii="Calibri" w:hAnsi="Calibri"/>
                <w:b/>
                <w:color w:val="30A46C"/>
                <w:sz w:val="22"/>
              </w:rPr>
              <w:t>+37.7%</w:t>
            </w:r>
          </w:p>
        </w:tc>
        <w:tc>
          <w:tcPr>
            <w:tcW w:type="dxa" w:w="1080"/>
          </w:tcPr>
          <w:p>
            <w:r>
              <w:rPr>
                <w:rFonts w:ascii="Calibri" w:hAnsi="Calibri"/>
                <w:sz w:val="22"/>
              </w:rPr>
              <w:t>&gt;$30B annual; FY-to-date $22.7B</w:t>
            </w:r>
          </w:p>
        </w:tc>
        <w:tc>
          <w:tcPr>
            <w:tcW w:type="dxa" w:w="1080"/>
          </w:tcPr>
          <w:p>
            <w:r>
              <w:rPr>
                <w:rFonts w:ascii="Calibri" w:hAnsi="Calibri"/>
                <w:sz w:val="22"/>
              </w:rPr>
              <w:t>Unchanged; expects to exceed $30B</w:t>
            </w:r>
          </w:p>
        </w:tc>
        <w:tc>
          <w:tcPr>
            <w:tcW w:type="dxa" w:w="1080"/>
          </w:tcPr>
          <w:p>
            <w:r>
              <w:rPr>
                <w:rFonts w:ascii="Calibri" w:hAnsi="Calibri"/>
                <w:sz w:val="22"/>
              </w:rPr>
              <w:t>Unchanged</w:t>
            </w:r>
          </w:p>
        </w:tc>
        <w:tc>
          <w:tcPr>
            <w:tcW w:type="dxa" w:w="1080"/>
          </w:tcPr>
          <w:p>
            <w:r>
              <w:rPr>
                <w:rFonts w:ascii="Calibri" w:hAnsi="Calibri"/>
                <w:sz w:val="22"/>
              </w:rPr>
              <w:t>Consensus implies ~$7.3B needed in Q3+Q4 to hit $30B — achievable</w:t>
            </w:r>
          </w:p>
        </w:tc>
      </w:tr>
      <w:tr>
        <w:tc>
          <w:tcPr>
            <w:tcW w:type="dxa" w:w="1080"/>
          </w:tcPr>
          <w:p>
            <w:r>
              <w:rPr>
                <w:rFonts w:ascii="Calibri" w:hAnsi="Calibri"/>
                <w:sz w:val="22"/>
              </w:rPr>
              <w:t>Ending AUM — Q3 FY2026</w:t>
            </w:r>
          </w:p>
        </w:tc>
        <w:tc>
          <w:tcPr>
            <w:tcW w:type="dxa" w:w="1080"/>
          </w:tcPr>
          <w:p>
            <w:r>
              <w:rPr>
                <w:rFonts w:ascii="Calibri" w:hAnsi="Calibri"/>
                <w:sz w:val="22"/>
              </w:rPr>
              <w:t>$1,736.6B</w:t>
            </w:r>
          </w:p>
        </w:tc>
        <w:tc>
          <w:tcPr>
            <w:tcW w:type="dxa" w:w="1080"/>
          </w:tcPr>
          <w:p>
            <w:r>
              <w:rPr>
                <w:rFonts w:ascii="Calibri" w:hAnsi="Calibri"/>
                <w:sz w:val="22"/>
              </w:rPr>
              <w:t>$1,793.1B</w:t>
            </w:r>
          </w:p>
        </w:tc>
        <w:tc>
          <w:tcPr>
            <w:tcW w:type="dxa" w:w="1080"/>
          </w:tcPr>
          <w:p>
            <w:r>
              <w:rPr>
                <w:rFonts w:ascii="Calibri" w:hAnsi="Calibri"/>
                <w:b/>
                <w:color w:val="30A46C"/>
                <w:sz w:val="22"/>
              </w:rPr>
              <w:t>+3.3%</w:t>
            </w:r>
          </w:p>
        </w:tc>
        <w:tc>
          <w:tcPr>
            <w:tcW w:type="dxa" w:w="1080"/>
          </w:tcPr>
          <w:p>
            <w:r>
              <w:rPr>
                <w:rFonts w:ascii="Calibri" w:hAnsi="Calibri"/>
                <w:sz w:val="22"/>
              </w:rPr>
              <w:t>No explicit target</w:t>
            </w:r>
          </w:p>
        </w:tc>
        <w:tc>
          <w:tcPr>
            <w:tcW w:type="dxa" w:w="1080"/>
          </w:tcPr>
          <w:p>
            <w:r>
              <w:rPr>
                <w:rFonts w:ascii="Calibri" w:hAnsi="Calibri"/>
                <w:sz w:val="22"/>
              </w:rPr>
              <w:t>No explicit target</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The most notable revision dynamic is in long-term net flows: the 5-day post-print baseline was only $6.7B (reflecting initial conservatism after Q1's record $28B), but the current consensus of $18.0B has been revised sharply higher as the street gained confidence in BEN's sustained flow momentum. Alternatives flows consensus has also been revised up +38% from the post-print baseline, consistent with management's above-$30B fundraising confidence. EPS revisions are more modest but directionally positive across both FY2026 and FY2027.</w:t>
      </w:r>
    </w:p>
    <w:p>
      <w:r>
        <w:rPr>
          <w:rFonts w:ascii="Calibri" w:hAnsi="Calibri"/>
          <w:i/>
          <w:color w:val="525866"/>
          <w:sz w:val="22"/>
        </w:rPr>
        <w:t>Source: Visible Alpha Consensus and Actuals Data. Baseline as of May 5, 2026 (5 trading days post Q2 FY2026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BEN has significantly outperformed both the sector ETF (IAI) and the S&amp;P 500 since the April 28 earnings print, driven by a combination of estimate revisions (EPS and flow upgrades) and multiple re-rating as the Western Asset overhang faded and the alternatives growth story gained credibility. The stock is up ~20% since the print vs. IAI +5.4% and SPY +4.2%, suggesting sentiment has shifted materially — but the stock still trades at a discount to peers, leaving room for further re-rating if Q3 delivers.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BEN vs. IAI vs. S&amp;P 500 — Indexed to 100 at April 28, 2026 (last earnings date). IAI = iShares U.S. Broker-Dealers &amp; Securities Exchanges ETF. Source: Yahoo Finance.</w:t>
      </w:r>
    </w:p>
    <w:p>
      <w:r>
        <w:rPr>
          <w:rFonts w:ascii="Calibri" w:hAnsi="Calibri"/>
          <w:b/>
          <w:color w:val="525866"/>
          <w:sz w:val="22"/>
        </w:rPr>
        <w:t>Performance Summary (April 28 – July 30,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Series</w:t>
            </w:r>
          </w:p>
        </w:tc>
        <w:tc>
          <w:tcPr>
            <w:tcW w:type="dxa" w:w="2160"/>
            <w:shd w:val="clear" w:color="auto" w:fill="3B4259"/>
          </w:tcPr>
          <w:p>
            <w:r>
              <w:rPr>
                <w:rFonts w:ascii="Calibri" w:hAnsi="Calibri"/>
                <w:b/>
                <w:color w:val="FFFFFF"/>
                <w:sz w:val="22"/>
              </w:rPr>
              <w:t>Price at Last Earnings (Apr 28)</w:t>
            </w:r>
          </w:p>
        </w:tc>
        <w:tc>
          <w:tcPr>
            <w:tcW w:type="dxa" w:w="2160"/>
            <w:shd w:val="clear" w:color="auto" w:fill="3B4259"/>
          </w:tcPr>
          <w:p>
            <w:r>
              <w:rPr>
                <w:rFonts w:ascii="Calibri" w:hAnsi="Calibri"/>
                <w:b/>
                <w:color w:val="FFFFFF"/>
                <w:sz w:val="22"/>
              </w:rPr>
              <w:t>Price (Jul 30, 2026)</w:t>
            </w:r>
          </w:p>
        </w:tc>
        <w:tc>
          <w:tcPr>
            <w:tcW w:type="dxa" w:w="2160"/>
            <w:shd w:val="clear" w:color="auto" w:fill="3B4259"/>
          </w:tcPr>
          <w:p>
            <w:r>
              <w:rPr>
                <w:rFonts w:ascii="Calibri" w:hAnsi="Calibri"/>
                <w:b/>
                <w:color w:val="FFFFFF"/>
                <w:sz w:val="22"/>
              </w:rPr>
              <w:t>Return Since Earnings</w:t>
            </w:r>
          </w:p>
        </w:tc>
      </w:tr>
      <w:tr>
        <w:tc>
          <w:tcPr>
            <w:tcW w:type="dxa" w:w="2160"/>
          </w:tcPr>
          <w:p>
            <w:r>
              <w:rPr>
                <w:rFonts w:ascii="Calibri" w:hAnsi="Calibri"/>
                <w:sz w:val="22"/>
              </w:rPr>
              <w:t>BEN</w:t>
            </w:r>
          </w:p>
        </w:tc>
        <w:tc>
          <w:tcPr>
            <w:tcW w:type="dxa" w:w="2160"/>
          </w:tcPr>
          <w:p>
            <w:r>
              <w:rPr>
                <w:rFonts w:ascii="Calibri" w:hAnsi="Calibri"/>
                <w:sz w:val="22"/>
              </w:rPr>
              <w:t>$29.46</w:t>
            </w:r>
          </w:p>
        </w:tc>
        <w:tc>
          <w:tcPr>
            <w:tcW w:type="dxa" w:w="2160"/>
          </w:tcPr>
          <w:p>
            <w:r>
              <w:rPr>
                <w:rFonts w:ascii="Calibri" w:hAnsi="Calibri"/>
                <w:sz w:val="22"/>
              </w:rPr>
              <w:t>$33.17</w:t>
            </w:r>
          </w:p>
        </w:tc>
        <w:tc>
          <w:tcPr>
            <w:tcW w:type="dxa" w:w="2160"/>
          </w:tcPr>
          <w:p>
            <w:r>
              <w:rPr>
                <w:rFonts w:ascii="Calibri" w:hAnsi="Calibri"/>
                <w:b/>
                <w:color w:val="30A46C"/>
                <w:sz w:val="22"/>
              </w:rPr>
              <w:t>+12.6%</w:t>
            </w:r>
          </w:p>
        </w:tc>
      </w:tr>
      <w:tr>
        <w:tc>
          <w:tcPr>
            <w:tcW w:type="dxa" w:w="2160"/>
          </w:tcPr>
          <w:p>
            <w:r>
              <w:rPr>
                <w:rFonts w:ascii="Calibri" w:hAnsi="Calibri"/>
                <w:sz w:val="22"/>
              </w:rPr>
              <w:t>IAI (Sector ETF)</w:t>
            </w:r>
          </w:p>
        </w:tc>
        <w:tc>
          <w:tcPr>
            <w:tcW w:type="dxa" w:w="2160"/>
          </w:tcPr>
          <w:p>
            <w:r>
              <w:rPr>
                <w:rFonts w:ascii="Calibri" w:hAnsi="Calibri"/>
                <w:sz w:val="22"/>
              </w:rPr>
              <w:t>$177.23</w:t>
            </w:r>
          </w:p>
        </w:tc>
        <w:tc>
          <w:tcPr>
            <w:tcW w:type="dxa" w:w="2160"/>
          </w:tcPr>
          <w:p>
            <w:r>
              <w:rPr>
                <w:rFonts w:ascii="Calibri" w:hAnsi="Calibri"/>
                <w:sz w:val="22"/>
              </w:rPr>
              <w:t>$186.89</w:t>
            </w:r>
          </w:p>
        </w:tc>
        <w:tc>
          <w:tcPr>
            <w:tcW w:type="dxa" w:w="2160"/>
          </w:tcPr>
          <w:p>
            <w:r>
              <w:rPr>
                <w:rFonts w:ascii="Calibri" w:hAnsi="Calibri"/>
                <w:sz w:val="22"/>
              </w:rPr>
              <w:t>+5.4%</w:t>
            </w:r>
          </w:p>
        </w:tc>
      </w:tr>
      <w:tr>
        <w:tc>
          <w:tcPr>
            <w:tcW w:type="dxa" w:w="2160"/>
          </w:tcPr>
          <w:p>
            <w:r>
              <w:rPr>
                <w:rFonts w:ascii="Calibri" w:hAnsi="Calibri"/>
                <w:sz w:val="22"/>
              </w:rPr>
              <w:t>SPY (S&amp;P 500)</w:t>
            </w:r>
          </w:p>
        </w:tc>
        <w:tc>
          <w:tcPr>
            <w:tcW w:type="dxa" w:w="2160"/>
          </w:tcPr>
          <w:p>
            <w:r>
              <w:rPr>
                <w:rFonts w:ascii="Calibri" w:hAnsi="Calibri"/>
                <w:sz w:val="22"/>
              </w:rPr>
              <w:t>$711.69</w:t>
            </w:r>
          </w:p>
        </w:tc>
        <w:tc>
          <w:tcPr>
            <w:tcW w:type="dxa" w:w="2160"/>
          </w:tcPr>
          <w:p>
            <w:r>
              <w:rPr>
                <w:rFonts w:ascii="Calibri" w:hAnsi="Calibri"/>
                <w:sz w:val="22"/>
              </w:rPr>
              <w:t>$741.69</w:t>
            </w:r>
          </w:p>
        </w:tc>
        <w:tc>
          <w:tcPr>
            <w:tcW w:type="dxa" w:w="2160"/>
          </w:tcPr>
          <w:p>
            <w:r>
              <w:rPr>
                <w:rFonts w:ascii="Calibri" w:hAnsi="Calibri"/>
                <w:sz w:val="22"/>
              </w:rPr>
              <w:t>+4.2%</w:t>
            </w:r>
          </w:p>
        </w:tc>
      </w:tr>
    </w:tbl>
    <w:p>
      <w:r>
        <w:rPr>
          <w:rFonts w:ascii="Calibri" w:hAnsi="Calibri"/>
          <w:i/>
          <w:color w:val="525866"/>
          <w:sz w:val="22"/>
        </w:rPr>
        <w:t>BEN outperformed IAI by ~7.2pp and the S&amp;P 500 by ~8.4pp since the last earnings print. The stock reached a high of ~$34.44 on July 6 before pulling back modestly into the print. The outperformance was driven by: (1) the Q2 beat on EPS (+29%) and management's confident tone on alternatives fundraising; (2) upward estimate revisions across FY2026 and FY2027; and (3) fading Western Asset concerns as fixed income ex-Western confirmed nine consecutive quarters of positive flows. The stock's discount to peers on P/E remains a potential re-rating catalyst if the 30%+ margin target for FY2027 gains further credibility.</w:t>
      </w:r>
    </w:p>
    <w:p>
      <w:r>
        <w:rPr>
          <w:rFonts w:ascii="Calibri" w:hAnsi="Calibri"/>
          <w:i/>
          <w:color w:val="525866"/>
          <w:sz w:val="22"/>
        </w:rPr>
        <w:t>Source: Yahoo Finance / Stock Price Data.</w:t>
      </w:r>
    </w:p>
    <w:p>
      <w:r>
        <w:br w:type="page"/>
      </w:r>
    </w:p>
    <w:p>
      <w:pPr>
        <w:pStyle w:val="Heading2"/>
      </w:pPr>
      <w:r>
        <w:rPr>
          <w:rFonts w:ascii="Calibri" w:hAnsi="Calibri"/>
          <w:b/>
          <w:color w:val="3B4259"/>
          <w:sz w:val="28"/>
        </w:rPr>
        <w:t>6. Peer Commentaries — Read-Through for BEN Q3 FY2026</w:t>
      </w:r>
    </w:p>
    <w:p>
      <w:r>
        <w:rPr>
          <w:rFonts w:ascii="Calibri" w:hAnsi="Calibri"/>
          <w:b/>
          <w:color w:val="525866"/>
          <w:sz w:val="22"/>
        </w:rPr>
        <w:t xml:space="preserve">Key Takeaway: </w:t>
      </w:r>
      <w:r>
        <w:rPr>
          <w:rFonts w:ascii="Calibri" w:hAnsi="Calibri"/>
          <w:color w:val="525866"/>
          <w:sz w:val="22"/>
        </w:rPr>
        <w:t>Peer commentary from Q2 2026 earnings calls and mid-quarter conferences (all covering the April–June 2026 period) is broadly constructive for BEN: alternatives fundraising demand remains robust across the industry, wealth channel flows bottomed in April/May and recovered sharply in June, and institutional demand for private credit and real assets is accelerating. The read-through is positive for BEN's Q3 alternatives flows, ETF momentum, and multi-asset inflows.</w:t>
      </w:r>
    </w:p>
    <w:p>
      <w:r>
        <w:rPr>
          <w:rFonts w:ascii="Calibri" w:hAnsi="Calibri"/>
          <w:i/>
          <w:color w:val="525866"/>
          <w:sz w:val="22"/>
        </w:rPr>
        <w:t>Note: All peer commentary below covers the April–June 2026 calendar quarter (BEN's fiscal Q3 2026) — either from Q2 2026 earnings calls or mid-quarter conferences. Prior-quarter earnings commentary has been excluded.</w:t>
      </w:r>
    </w:p>
    <w:p>
      <w:pPr>
        <w:pStyle w:val="Heading3"/>
      </w:pPr>
      <w:r>
        <w:rPr>
          <w:rFonts w:ascii="Calibri" w:hAnsi="Calibri"/>
          <w:b/>
          <w:color w:val="3B4259"/>
          <w:sz w:val="24"/>
        </w:rPr>
        <w:t>Blackstone (BX) — Q2 2026 Earnings Call (July 23, 2026)</w:t>
      </w:r>
    </w:p>
    <w:p>
      <w:r>
        <w:rPr>
          <w:rFonts w:ascii="Calibri" w:hAnsi="Calibri"/>
          <w:b/>
          <w:color w:val="525866"/>
          <w:sz w:val="22"/>
        </w:rPr>
        <w:t xml:space="preserve">Wealth Channel Recovery: </w:t>
      </w:r>
      <w:r>
        <w:rPr>
          <w:rFonts w:ascii="Calibri" w:hAnsi="Calibri"/>
          <w:color w:val="525866"/>
          <w:sz w:val="22"/>
        </w:rPr>
        <w:t xml:space="preserve">BX reported total wealth AUM of $324B (+16% YoY) and noted that after a slowdown in April/May due to geopolitical sentiment (Middle East conflict), flows recovered sharply in June — "by June 1, we were up 50% back to the levels we were in the first quarter." BXP raised $2.4B in Q2 with June being its best month of sales since launch at $1.2B. </w:t>
      </w:r>
    </w:p>
    <w:p>
      <w:r>
        <w:rPr>
          <w:rFonts w:ascii="Calibri" w:hAnsi="Calibri"/>
          <w:b/>
          <w:color w:val="525866"/>
          <w:sz w:val="22"/>
        </w:rPr>
        <w:t xml:space="preserve">Read-Through for BEN: </w:t>
      </w:r>
      <w:r>
        <w:rPr>
          <w:rFonts w:ascii="Calibri" w:hAnsi="Calibri"/>
          <w:color w:val="525866"/>
          <w:sz w:val="22"/>
        </w:rPr>
        <w:t>The June recovery in wealth channel flows is a strong positive read-through for BEN's Canvas, ETF, and retail SMA flows in Q3. BEN's Canvas reached record AUM of $22.9B in Q2 with $5.3B of net inflows; the June recovery in wealth demand should support continued momentum.</w:t>
      </w:r>
    </w:p>
    <w:p>
      <w:r>
        <w:rPr>
          <w:rFonts w:ascii="Calibri" w:hAnsi="Calibri"/>
          <w:b/>
          <w:color w:val="525866"/>
          <w:sz w:val="22"/>
        </w:rPr>
        <w:t xml:space="preserve">Alternatives Fundraising Strength: </w:t>
      </w:r>
      <w:r>
        <w:rPr>
          <w:rFonts w:ascii="Calibri" w:hAnsi="Calibri"/>
          <w:color w:val="525866"/>
          <w:sz w:val="22"/>
        </w:rPr>
        <w:t>BX raised nearly $70B in Q2 (record $1.35T AUM, +11% YoY). Three funds hit hard caps in 2026 (opportunistic private credit, life sciences, Asia PE), and the new buyout flagship has raised $14B+ toward a $22B target. Fee revenues rose 22% YoY to $3B.</w:t>
      </w:r>
    </w:p>
    <w:p>
      <w:r>
        <w:rPr>
          <w:rFonts w:ascii="Calibri" w:hAnsi="Calibri"/>
          <w:b/>
          <w:color w:val="525866"/>
          <w:sz w:val="22"/>
        </w:rPr>
        <w:t xml:space="preserve">Read-Through for BEN: </w:t>
      </w:r>
      <w:r>
        <w:rPr>
          <w:rFonts w:ascii="Calibri" w:hAnsi="Calibri"/>
          <w:color w:val="525866"/>
          <w:sz w:val="22"/>
        </w:rPr>
        <w:t>Broad-based alternatives demand across strategies and geographies is a positive read-through for BEN's Lexington (secondaries), private credit, and real assets fundraising. BX's commentary that "three funds hit their hard cap" with excess demand validates the strong alternatives fundraising environment BEN is operating in.</w:t>
      </w:r>
    </w:p>
    <w:p>
      <w:pPr>
        <w:pStyle w:val="Heading3"/>
      </w:pPr>
      <w:r>
        <w:rPr>
          <w:rFonts w:ascii="Calibri" w:hAnsi="Calibri"/>
          <w:b/>
          <w:color w:val="3B4259"/>
          <w:sz w:val="24"/>
        </w:rPr>
        <w:t>BlackRock (BLK) — Q2 2026 Earnings Call (July 15, 2026)</w:t>
      </w:r>
    </w:p>
    <w:p>
      <w:r>
        <w:rPr>
          <w:rFonts w:ascii="Calibri" w:hAnsi="Calibri"/>
          <w:b/>
          <w:color w:val="525866"/>
          <w:sz w:val="22"/>
        </w:rPr>
        <w:t xml:space="preserve">Record ETF and Active ETF Flows: </w:t>
      </w:r>
      <w:r>
        <w:rPr>
          <w:rFonts w:ascii="Calibri" w:hAnsi="Calibri"/>
          <w:color w:val="525866"/>
          <w:sz w:val="22"/>
        </w:rPr>
        <w:t>BLK generated $192B of total net inflows in Q2 2026, with iShares ETFs contributing $178B (record first half). Active ETFs saw $20B of net inflows in Q2, with BLK rising from 7th to 3rd largest active ETF manager in three years. Organic base fee growth was 8% — two full years above target.</w:t>
      </w:r>
    </w:p>
    <w:p>
      <w:r>
        <w:rPr>
          <w:rFonts w:ascii="Calibri" w:hAnsi="Calibri"/>
          <w:b/>
          <w:color w:val="525866"/>
          <w:sz w:val="22"/>
        </w:rPr>
        <w:t xml:space="preserve">Read-Through for BEN: </w:t>
      </w:r>
      <w:r>
        <w:rPr>
          <w:rFonts w:ascii="Calibri" w:hAnsi="Calibri"/>
          <w:color w:val="525866"/>
          <w:sz w:val="22"/>
        </w:rPr>
        <w:t>BLK's record ETF flows and active ETF momentum validate the structural tailwind BEN is riding — BEN's ETF AUM hit a new high of $61.6B (+67% YoY) in Q2 with 18 consecutive quarters of positive flows. The industry-wide demand for active ETFs and tax-efficient wrappers (Aperio at BLK, Canvas at BEN) is a strong positive read-through for BEN's Q3 ETF and Canvas flows.</w:t>
      </w:r>
    </w:p>
    <w:p>
      <w:r>
        <w:rPr>
          <w:rFonts w:ascii="Calibri" w:hAnsi="Calibri"/>
          <w:b/>
          <w:color w:val="525866"/>
          <w:sz w:val="22"/>
        </w:rPr>
        <w:t xml:space="preserve">Wealth Personalization Demand: </w:t>
      </w:r>
      <w:r>
        <w:rPr>
          <w:rFonts w:ascii="Calibri" w:hAnsi="Calibri"/>
          <w:color w:val="525866"/>
          <w:sz w:val="22"/>
        </w:rPr>
        <w:t>BLK highlighted "hyper-personalized, tax-efficient portfolios" as a key demand driver, with Aperio (direct indexing) generating $7B of net inflows in Q2 and 2026 flows of ~$20B already surpassing 2025's record of $15B. SpiderRock (options strategies) delivered two consecutive quarters of $1B+ flows.</w:t>
      </w:r>
    </w:p>
    <w:p>
      <w:r>
        <w:rPr>
          <w:rFonts w:ascii="Calibri" w:hAnsi="Calibri"/>
          <w:b/>
          <w:color w:val="525866"/>
          <w:sz w:val="22"/>
        </w:rPr>
        <w:t xml:space="preserve">Read-Through for BEN: </w:t>
      </w:r>
      <w:r>
        <w:rPr>
          <w:rFonts w:ascii="Calibri" w:hAnsi="Calibri"/>
          <w:color w:val="525866"/>
          <w:sz w:val="22"/>
        </w:rPr>
        <w:t>Directly validates BEN's Canvas strategy. BLK's Aperio (comparable to Canvas in tax-managed direct indexing) is accelerating, suggesting BEN's Canvas — which reached record AUM of $22.9B with $5.3B of Q2 net inflows — is operating in a favorable demand environment heading into Q3.</w:t>
      </w:r>
    </w:p>
    <w:p>
      <w:pPr>
        <w:pStyle w:val="Heading3"/>
      </w:pPr>
      <w:r>
        <w:rPr>
          <w:rFonts w:ascii="Calibri" w:hAnsi="Calibri"/>
          <w:b/>
          <w:color w:val="3B4259"/>
          <w:sz w:val="24"/>
        </w:rPr>
        <w:t>KKR — Q2 2026 Earnings Call (July 30, 2026)</w:t>
      </w:r>
    </w:p>
    <w:p>
      <w:r>
        <w:rPr>
          <w:rFonts w:ascii="Calibri" w:hAnsi="Calibri"/>
          <w:b/>
          <w:color w:val="525866"/>
          <w:sz w:val="22"/>
        </w:rPr>
        <w:t xml:space="preserve">Record Fundraising: </w:t>
      </w:r>
      <w:r>
        <w:rPr>
          <w:rFonts w:ascii="Calibri" w:hAnsi="Calibri"/>
          <w:color w:val="525866"/>
          <w:sz w:val="22"/>
        </w:rPr>
        <w:t>KKR raised $34B of new capital in Q2 2026, beating its 3-year $300B fundraising target in just 2.5 years. Management fees reached $1.2B (+26% YoY). KKR has a record $72B of committed capital not yet earning fees (up ~30% YoY, weighted avg. fee of ~90bps) — a strong forward indicator for management fee growth.</w:t>
      </w:r>
    </w:p>
    <w:p>
      <w:r>
        <w:rPr>
          <w:rFonts w:ascii="Calibri" w:hAnsi="Calibri"/>
          <w:b/>
          <w:color w:val="525866"/>
          <w:sz w:val="22"/>
        </w:rPr>
        <w:t xml:space="preserve">Read-Through for BEN: </w:t>
      </w:r>
      <w:r>
        <w:rPr>
          <w:rFonts w:ascii="Calibri" w:hAnsi="Calibri"/>
          <w:color w:val="525866"/>
          <w:sz w:val="22"/>
        </w:rPr>
        <w:t>KKR's record fundraising and the $72B of fee-earning AUM not yet deployed is a direct positive read-through for BEN's alternatives fee-earning AUM conversion story. BEN's fee-earning AUM is ~80% of total alternatives AUM with ~90% having the potential to earn fees — the dry powder conversion timing is a key watch item for BEN's revenue ramp.</w:t>
      </w:r>
    </w:p>
    <w:p>
      <w:r>
        <w:rPr>
          <w:rFonts w:ascii="Calibri" w:hAnsi="Calibri"/>
          <w:b/>
          <w:color w:val="525866"/>
          <w:sz w:val="22"/>
        </w:rPr>
        <w:t xml:space="preserve">Wealth Channel Rebound: </w:t>
      </w:r>
      <w:r>
        <w:rPr>
          <w:rFonts w:ascii="Calibri" w:hAnsi="Calibri"/>
          <w:color w:val="525866"/>
          <w:sz w:val="22"/>
        </w:rPr>
        <w:t>KKR's K-series wealth AUM stands at $42B (+70% YoY from $25B). Q2 wealth inflows of $3B rebounded "nicely after the April lows seen across the industry." Total K-series AUM year-to-date through June 30 is up over 20%.</w:t>
      </w:r>
    </w:p>
    <w:p>
      <w:r>
        <w:rPr>
          <w:rFonts w:ascii="Calibri" w:hAnsi="Calibri"/>
          <w:b/>
          <w:color w:val="525866"/>
          <w:sz w:val="22"/>
        </w:rPr>
        <w:t xml:space="preserve">Read-Through for BEN: </w:t>
      </w:r>
      <w:r>
        <w:rPr>
          <w:rFonts w:ascii="Calibri" w:hAnsi="Calibri"/>
          <w:color w:val="525866"/>
          <w:sz w:val="22"/>
        </w:rPr>
        <w:t>Confirms the industry-wide wealth channel recovery in June that BX also highlighted. Positive for BEN's retail SMA, Canvas, and ETF flows in Q3.</w:t>
      </w:r>
    </w:p>
    <w:p>
      <w:pPr>
        <w:pStyle w:val="Heading3"/>
      </w:pPr>
      <w:r>
        <w:rPr>
          <w:rFonts w:ascii="Calibri" w:hAnsi="Calibri"/>
          <w:b/>
          <w:color w:val="3B4259"/>
          <w:sz w:val="24"/>
        </w:rPr>
        <w:t>Invesco (IVZ) — Q2 2026 Earnings Call (July 28, 2026) &amp; Morgan Stanley Financials Conference (June 10, 2026)</w:t>
      </w:r>
    </w:p>
    <w:p>
      <w:r>
        <w:rPr>
          <w:rFonts w:ascii="Calibri" w:hAnsi="Calibri"/>
          <w:b/>
          <w:color w:val="525866"/>
          <w:sz w:val="22"/>
        </w:rPr>
        <w:t xml:space="preserve">Record Net Inflows: </w:t>
      </w:r>
      <w:r>
        <w:rPr>
          <w:rFonts w:ascii="Calibri" w:hAnsi="Calibri"/>
          <w:color w:val="525866"/>
          <w:sz w:val="22"/>
        </w:rPr>
        <w:t>IVZ reported record Q2 net long-term inflows of $45.1B (12th consecutive quarter of net inflows, ~9% annualized organic growth). AUM reached a record $2.5T (+14% QoQ, +23% YoY). At the Morgan Stanley conference in June, CFO Allison Dukes noted May inflows of $19B following a strong April of $17–18B, totaling ~$35–36B for the first two months of Q2.</w:t>
      </w:r>
    </w:p>
    <w:p>
      <w:r>
        <w:rPr>
          <w:rFonts w:ascii="Calibri" w:hAnsi="Calibri"/>
          <w:b/>
          <w:color w:val="525866"/>
          <w:sz w:val="22"/>
        </w:rPr>
        <w:t xml:space="preserve">Read-Through for BEN: </w:t>
      </w:r>
      <w:r>
        <w:rPr>
          <w:rFonts w:ascii="Calibri" w:hAnsi="Calibri"/>
          <w:color w:val="525866"/>
          <w:sz w:val="22"/>
        </w:rPr>
        <w:t>IVZ's record flows and the strong April/May inflow data (shared at the June 10 conference) are a positive read-through for BEN's Q3 flows. IVZ noted "demand is incredibly strong" despite geopolitical volatility, and that "a lot of cash still seems to be on the sidelines continuing to enter the market" — a favorable backdrop for BEN's multi-asset and fixed income ex-Western flows.</w:t>
      </w:r>
    </w:p>
    <w:p>
      <w:r>
        <w:rPr>
          <w:rFonts w:ascii="Calibri" w:hAnsi="Calibri"/>
          <w:b/>
          <w:color w:val="525866"/>
          <w:sz w:val="22"/>
        </w:rPr>
        <w:t xml:space="preserve">SMA and Fixed Income Demand: </w:t>
      </w:r>
      <w:r>
        <w:rPr>
          <w:rFonts w:ascii="Calibri" w:hAnsi="Calibri"/>
          <w:color w:val="525866"/>
          <w:sz w:val="22"/>
        </w:rPr>
        <w:t>IVZ's US wealth management SMA platform (~$40B, ~75% fixed income SMAs) is growing at 18–20% organically. Fixed income demand is "broad-based and really across the globe." IVZ's fee rate is stabilizing at ~22.4bps.</w:t>
      </w:r>
    </w:p>
    <w:p>
      <w:r>
        <w:rPr>
          <w:rFonts w:ascii="Calibri" w:hAnsi="Calibri"/>
          <w:b/>
          <w:color w:val="525866"/>
          <w:sz w:val="22"/>
        </w:rPr>
        <w:t xml:space="preserve">Read-Through for BEN: </w:t>
      </w:r>
      <w:r>
        <w:rPr>
          <w:rFonts w:ascii="Calibri" w:hAnsi="Calibri"/>
          <w:color w:val="525866"/>
          <w:sz w:val="22"/>
        </w:rPr>
        <w:t>Validates BEN's retail SMA business ($168.3B AUM, $2.7B Q2 net inflows) and fixed income ex-Western momentum (nine consecutive quarters of positive flows). The SMA demand environment heading into Q3 appears favorable.</w:t>
      </w:r>
    </w:p>
    <w:p>
      <w:pPr>
        <w:pStyle w:val="Heading3"/>
      </w:pPr>
      <w:r>
        <w:rPr>
          <w:rFonts w:ascii="Calibri" w:hAnsi="Calibri"/>
          <w:b/>
          <w:color w:val="3B4259"/>
          <w:sz w:val="24"/>
        </w:rPr>
        <w:t>Ares Management (ARES) — Morgan Stanley Financials Conference (June 10, 2026)</w:t>
      </w:r>
    </w:p>
    <w:p>
      <w:r>
        <w:rPr>
          <w:rFonts w:ascii="Calibri" w:hAnsi="Calibri"/>
          <w:b/>
          <w:color w:val="525866"/>
          <w:sz w:val="22"/>
        </w:rPr>
        <w:t xml:space="preserve">Higher-for-Longer Tailwind: </w:t>
      </w:r>
      <w:r>
        <w:rPr>
          <w:rFonts w:ascii="Calibri" w:hAnsi="Calibri"/>
          <w:color w:val="525866"/>
          <w:sz w:val="22"/>
        </w:rPr>
        <w:t>CEO Michael Arougheti noted that "higher for longer, especially at these levels could actually benefit performance, not hurt performance" in the alternatives space, particularly in private credit where instruments are structured around short-term base rates. ARES has ~$150B of dry powder and is "raising and deploying at a pretty healthy clip." Pathfinder III (alternative credit) raised $8.5B at its hard cap (vs. $6.5B cover), with an additional $4B from prior fund investors extending duration — $12.5B total.</w:t>
      </w:r>
    </w:p>
    <w:p>
      <w:r>
        <w:rPr>
          <w:rFonts w:ascii="Calibri" w:hAnsi="Calibri"/>
          <w:b/>
          <w:color w:val="525866"/>
          <w:sz w:val="22"/>
        </w:rPr>
        <w:t xml:space="preserve">Read-Through for BEN: </w:t>
      </w:r>
      <w:r>
        <w:rPr>
          <w:rFonts w:ascii="Calibri" w:hAnsi="Calibri"/>
          <w:color w:val="525866"/>
          <w:sz w:val="22"/>
        </w:rPr>
        <w:t>ARES's commentary that higher rates benefit private credit performance and that institutional demand "continues to allocate aggressively into private credit" is a positive read-through for BEN's alternatives fundraising. ARES also noted Q2 wealth channel gross of ~$3.6B (+10% YoY), with a core infrastructure product raising $1.9B in Q2 ($850M in June alone) — validating the June recovery in wealth demand.</w:t>
      </w:r>
    </w:p>
    <w:p>
      <w:r>
        <w:rPr>
          <w:rFonts w:ascii="Calibri" w:hAnsi="Calibri"/>
          <w:b/>
          <w:color w:val="525866"/>
          <w:sz w:val="22"/>
        </w:rPr>
        <w:t xml:space="preserve">Portfolio Fundamentals Strong: </w:t>
      </w:r>
      <w:r>
        <w:rPr>
          <w:rFonts w:ascii="Calibri" w:hAnsi="Calibri"/>
          <w:color w:val="525866"/>
          <w:sz w:val="22"/>
        </w:rPr>
        <w:t>ARES's portfolio of 3,000+ investments globally shows EBITDA growth of ~10%, real estate occupancy of 95–98%, and credit performance (net charge-offs, delinquencies) "really low relative to historical cycles." Nonaccrual rate is ~2% at cost, "well below historical averages."</w:t>
      </w:r>
    </w:p>
    <w:p>
      <w:r>
        <w:rPr>
          <w:rFonts w:ascii="Calibri" w:hAnsi="Calibri"/>
          <w:b/>
          <w:color w:val="525866"/>
          <w:sz w:val="22"/>
        </w:rPr>
        <w:t xml:space="preserve">Read-Through for BEN: </w:t>
      </w:r>
      <w:r>
        <w:rPr>
          <w:rFonts w:ascii="Calibri" w:hAnsi="Calibri"/>
          <w:color w:val="525866"/>
          <w:sz w:val="22"/>
        </w:rPr>
        <w:t>Strong underlying credit fundamentals reduce the risk of impairments in BEN's alternatives portfolio and support continued fundraising demand from institutional investors.</w:t>
      </w:r>
    </w:p>
    <w:p>
      <w:pPr>
        <w:pStyle w:val="Heading3"/>
      </w:pPr>
      <w:r>
        <w:rPr>
          <w:rFonts w:ascii="Calibri" w:hAnsi="Calibri"/>
          <w:b/>
          <w:color w:val="3B4259"/>
          <w:sz w:val="24"/>
        </w:rPr>
        <w:t>Blue Owl Capital (OWL) — Q2 2026 Earnings Call (July 30, 2026)</w:t>
      </w:r>
    </w:p>
    <w:p>
      <w:r>
        <w:rPr>
          <w:rFonts w:ascii="Calibri" w:hAnsi="Calibri"/>
          <w:b/>
          <w:color w:val="525866"/>
          <w:sz w:val="22"/>
        </w:rPr>
        <w:t xml:space="preserve">Wealth Channel Bottoming and Recovery: </w:t>
      </w:r>
      <w:r>
        <w:rPr>
          <w:rFonts w:ascii="Calibri" w:hAnsi="Calibri"/>
          <w:color w:val="525866"/>
          <w:sz w:val="22"/>
        </w:rPr>
        <w:t>OWL stated it "believes it has seen a bottoming of evergreen inflows in the May 1st close," with the July 1st close showing a "greater than 50% increase in evergreen inflows versus that May 1st close." Redemptions were down in Q2 vs. Q1, and 90% of OCIC fund investors did not request a single dollar of redemptions for the second consecutive quarter.</w:t>
      </w:r>
    </w:p>
    <w:p>
      <w:r>
        <w:rPr>
          <w:rFonts w:ascii="Calibri" w:hAnsi="Calibri"/>
          <w:b/>
          <w:color w:val="525866"/>
          <w:sz w:val="22"/>
        </w:rPr>
        <w:t xml:space="preserve">Read-Through for BEN: </w:t>
      </w:r>
      <w:r>
        <w:rPr>
          <w:rFonts w:ascii="Calibri" w:hAnsi="Calibri"/>
          <w:color w:val="525866"/>
          <w:sz w:val="22"/>
        </w:rPr>
        <w:t>OWL's bottoming and recovery narrative for the wealth channel is a strong positive read-through for BEN's evergreen alternatives products and retail SMA/Canvas flows in Q3. The July 1st close data (50%+ increase) suggests the recovery is accelerating into BEN's fiscal Q4.</w:t>
      </w:r>
    </w:p>
    <w:p>
      <w:r>
        <w:rPr>
          <w:rFonts w:ascii="Calibri" w:hAnsi="Calibri"/>
          <w:b/>
          <w:color w:val="525866"/>
          <w:sz w:val="22"/>
        </w:rPr>
        <w:t xml:space="preserve">Institutional Demand Accelerating: </w:t>
      </w:r>
      <w:r>
        <w:rPr>
          <w:rFonts w:ascii="Calibri" w:hAnsi="Calibri"/>
          <w:color w:val="525866"/>
          <w:sz w:val="22"/>
        </w:rPr>
        <w:t>OWL raised $7.8B in Q2, with ~75% from institutional/insurance investors (institutional flows +30%+ YoY). AUM not yet paying fees increased to $31B (~$380M of expected annual management fees once deployed). Management has "visibility into the next quarter or two where we do see management fee growth building."</w:t>
      </w:r>
    </w:p>
    <w:p>
      <w:r>
        <w:rPr>
          <w:rFonts w:ascii="Calibri" w:hAnsi="Calibri"/>
          <w:b/>
          <w:color w:val="525866"/>
          <w:sz w:val="22"/>
        </w:rPr>
        <w:t xml:space="preserve">Read-Through for BEN: </w:t>
      </w:r>
      <w:r>
        <w:rPr>
          <w:rFonts w:ascii="Calibri" w:hAnsi="Calibri"/>
          <w:color w:val="525866"/>
          <w:sz w:val="22"/>
        </w:rPr>
        <w:t>OWL's $31B of fee-earning AUM not yet deployed mirrors BEN's own dry powder conversion story. The institutional demand acceleration (+30% YoY) is a positive read-through for BEN's institutional pipeline ($20.2B won-but-unfunded) and alternatives fee-earning AUM ramp.</w:t>
      </w:r>
    </w:p>
    <w:p>
      <w:pPr>
        <w:pStyle w:val="Heading3"/>
      </w:pPr>
      <w:r>
        <w:rPr>
          <w:rFonts w:ascii="Calibri" w:hAnsi="Calibri"/>
          <w:b/>
          <w:color w:val="3B4259"/>
          <w:sz w:val="24"/>
        </w:rPr>
        <w:t>Ameriprise Financial (AMP) — Q2 2026 Earnings Call (July 23, 2026)</w:t>
      </w:r>
    </w:p>
    <w:p>
      <w:r>
        <w:rPr>
          <w:rFonts w:ascii="Calibri" w:hAnsi="Calibri"/>
          <w:b/>
          <w:color w:val="525866"/>
          <w:sz w:val="22"/>
        </w:rPr>
        <w:t xml:space="preserve">Wealth Management Strength: </w:t>
      </w:r>
      <w:r>
        <w:rPr>
          <w:rFonts w:ascii="Calibri" w:hAnsi="Calibri"/>
          <w:color w:val="525866"/>
          <w:sz w:val="22"/>
        </w:rPr>
        <w:t>AMP reported revenues up 13% to ~$5B, adjusted operating EPS up 22% to $11.07, and total AUM/AUA of $1.8T (+14%). Wrap assets reached a record $732B (+19%). Advisor productivity hit a record $1.2M (+12% YoY). The Signature Wealth Unified Managed Account was described as the "fastest-growing platform launch."</w:t>
      </w:r>
    </w:p>
    <w:p>
      <w:r>
        <w:rPr>
          <w:rFonts w:ascii="Calibri" w:hAnsi="Calibri"/>
          <w:b/>
          <w:color w:val="525866"/>
          <w:sz w:val="22"/>
        </w:rPr>
        <w:t xml:space="preserve">Read-Through for BEN: </w:t>
      </w:r>
      <w:r>
        <w:rPr>
          <w:rFonts w:ascii="Calibri" w:hAnsi="Calibri"/>
          <w:color w:val="525866"/>
          <w:sz w:val="22"/>
        </w:rPr>
        <w:t>AMP's strong wealth management results and record wrap AUM validate the structural demand for managed account solutions — a direct positive read-through for BEN's retail SMA business ($168.3B AUM) and Canvas platform. AMP noted its equity flow rate is "ahead of active peers," suggesting active equity demand is improving.</w:t>
      </w:r>
    </w:p>
    <w:p>
      <w:r>
        <w:rPr>
          <w:rFonts w:ascii="Calibri" w:hAnsi="Calibri"/>
          <w:b/>
          <w:color w:val="525866"/>
          <w:sz w:val="22"/>
        </w:rPr>
        <w:t xml:space="preserve">AI Productivity Gains: </w:t>
      </w:r>
      <w:r>
        <w:rPr>
          <w:rFonts w:ascii="Calibri" w:hAnsi="Calibri"/>
          <w:color w:val="525866"/>
          <w:sz w:val="22"/>
        </w:rPr>
        <w:t>AMP highlighted AI-driven productivity savings of 30+ hours per week for advisors using three AI tools (E-meeting automation, meeting summarization, Co-pilot premium). ~6,000 advisors are already using the E-meeting capability.</w:t>
      </w:r>
    </w:p>
    <w:p>
      <w:r>
        <w:rPr>
          <w:rFonts w:ascii="Calibri" w:hAnsi="Calibri"/>
          <w:b/>
          <w:color w:val="525866"/>
          <w:sz w:val="22"/>
        </w:rPr>
        <w:t xml:space="preserve">Read-Through for BEN: </w:t>
      </w:r>
      <w:r>
        <w:rPr>
          <w:rFonts w:ascii="Calibri" w:hAnsi="Calibri"/>
          <w:color w:val="525866"/>
          <w:sz w:val="22"/>
        </w:rPr>
        <w:t>Validates BEN's own AI investment thesis. BEN guided IS&amp;T at $155M in Q3 (slightly above Q2) specifically due to AI investments — AMP's quantified productivity gains suggest these investments are industry-standard and competitively necessary.</w:t>
      </w:r>
    </w:p>
    <w:p>
      <w:pPr>
        <w:pStyle w:val="Heading3"/>
      </w:pPr>
      <w:r>
        <w:rPr>
          <w:rFonts w:ascii="Calibri" w:hAnsi="Calibri"/>
          <w:b/>
          <w:color w:val="3B4259"/>
          <w:sz w:val="24"/>
        </w:rPr>
        <w:t>Carlyle Group (CG) — Morgan Stanley Financials Conference (June 10, 2026)</w:t>
      </w:r>
    </w:p>
    <w:p>
      <w:r>
        <w:rPr>
          <w:rFonts w:ascii="Calibri" w:hAnsi="Calibri"/>
          <w:b/>
          <w:color w:val="525866"/>
          <w:sz w:val="22"/>
        </w:rPr>
        <w:t xml:space="preserve">Macro Resilience and Dry Powder Deployment: </w:t>
      </w:r>
      <w:r>
        <w:rPr>
          <w:rFonts w:ascii="Calibri" w:hAnsi="Calibri"/>
          <w:color w:val="525866"/>
          <w:sz w:val="22"/>
        </w:rPr>
        <w:t>CFO Justin Plaehn noted that "given everything that's happened in 2026 so far, it's actually surprising how resilient the economy has been globally." CG holds a "record amount of dry powder" and is actively deploying. The period 2026–2028 is described as a "super cycle for fundraising" as all of CG's flagship funds (US buyout, opportunistic credit, Japan buyout, Alpinvest) will be in the market simultaneously.</w:t>
      </w:r>
    </w:p>
    <w:p>
      <w:r>
        <w:rPr>
          <w:rFonts w:ascii="Calibri" w:hAnsi="Calibri"/>
          <w:b/>
          <w:color w:val="525866"/>
          <w:sz w:val="22"/>
        </w:rPr>
        <w:t xml:space="preserve">Read-Through for BEN: </w:t>
      </w:r>
      <w:r>
        <w:rPr>
          <w:rFonts w:ascii="Calibri" w:hAnsi="Calibri"/>
          <w:color w:val="525866"/>
          <w:sz w:val="22"/>
        </w:rPr>
        <w:t>CG's "super cycle" fundraising narrative and record dry powder deployment are a positive read-through for the broader alternatives fundraising environment. BEN's Lexington flagship (secondaries) is actively fundraising and "right on track" — CG's commentary on strong demand for liquidity solutions and secondaries (Alpinvest, now $100B+ AUM, grew 60% last year) directly validates the Lexington opportunity.</w:t>
      </w:r>
    </w:p>
    <w:p>
      <w:r>
        <w:rPr>
          <w:rFonts w:ascii="Calibri" w:hAnsi="Calibri"/>
          <w:b/>
          <w:color w:val="525866"/>
          <w:sz w:val="22"/>
        </w:rPr>
        <w:t xml:space="preserve">Wealth Channel Build-Out: </w:t>
      </w:r>
      <w:r>
        <w:rPr>
          <w:rFonts w:ascii="Calibri" w:hAnsi="Calibri"/>
          <w:color w:val="525866"/>
          <w:sz w:val="22"/>
        </w:rPr>
        <w:t>CG noted its wealth channel is now at ~20% of fundraising (up from 15%), with a flagship product in every strategy. The response has been "great," and CG expects wealth investors to have "more" private market exposure in five years.</w:t>
      </w:r>
    </w:p>
    <w:p>
      <w:r>
        <w:rPr>
          <w:rFonts w:ascii="Calibri" w:hAnsi="Calibri"/>
          <w:b/>
          <w:color w:val="525866"/>
          <w:sz w:val="22"/>
        </w:rPr>
        <w:t xml:space="preserve">Read-Through for BEN: </w:t>
      </w:r>
      <w:r>
        <w:rPr>
          <w:rFonts w:ascii="Calibri" w:hAnsi="Calibri"/>
          <w:color w:val="525866"/>
          <w:sz w:val="22"/>
        </w:rPr>
        <w:t>Validates the secular wealth channel opportunity BEN is pursuing through Canvas, ETFs, and evergreen alternatives products. CG's commentary that "bumps in the road" in private credit fundraising are temporary is consistent with BEN's own experience and the broader industry recovery in June.</w:t>
      </w:r>
    </w:p>
    <w:p>
      <w:pPr>
        <w:pStyle w:val="Heading3"/>
      </w:pPr>
      <w:r>
        <w:rPr>
          <w:rFonts w:ascii="Calibri" w:hAnsi="Calibri"/>
          <w:b/>
          <w:color w:val="3B4259"/>
          <w:sz w:val="24"/>
        </w:rPr>
        <w:t>Blackstone (BX) — Morgan Stanley Financials Conference (June 9, 2026)</w:t>
      </w:r>
    </w:p>
    <w:p>
      <w:r>
        <w:rPr>
          <w:rFonts w:ascii="Calibri" w:hAnsi="Calibri"/>
          <w:b/>
          <w:color w:val="525866"/>
          <w:sz w:val="22"/>
        </w:rPr>
        <w:t xml:space="preserve">Wealth Channel Recovery in June: </w:t>
      </w:r>
      <w:r>
        <w:rPr>
          <w:rFonts w:ascii="Calibri" w:hAnsi="Calibri"/>
          <w:color w:val="525866"/>
          <w:sz w:val="22"/>
        </w:rPr>
        <w:t>President Jonathan Gray noted that after a slowdown in April/May (due to the Middle East conflict and "noise on private credit"), "by June 1, we were up 50% back to the levels we were in the first quarter." In private equity wealth, June had "the best inflows we had since we launched the product." Total wealth AUM stands at $310B.</w:t>
      </w:r>
    </w:p>
    <w:p>
      <w:r>
        <w:rPr>
          <w:rFonts w:ascii="Calibri" w:hAnsi="Calibri"/>
          <w:b/>
          <w:color w:val="525866"/>
          <w:sz w:val="22"/>
        </w:rPr>
        <w:t xml:space="preserve">Read-Through for BEN: </w:t>
      </w:r>
      <w:r>
        <w:rPr>
          <w:rFonts w:ascii="Calibri" w:hAnsi="Calibri"/>
          <w:color w:val="525866"/>
          <w:sz w:val="22"/>
        </w:rPr>
        <w:t>The June 1 data point (shared at the June 9 conference) provides a real-time positive read-through for BEN's Q3 wealth channel flows. The recovery was broad-based across strategies, suggesting BEN's Canvas, ETF, and retail SMA flows likely benefited from the same June recovery.</w:t>
      </w:r>
    </w:p>
    <w:p>
      <w:r>
        <w:rPr>
          <w:rFonts w:ascii="Calibri" w:hAnsi="Calibri"/>
          <w:b/>
          <w:color w:val="525866"/>
          <w:sz w:val="22"/>
        </w:rPr>
        <w:t xml:space="preserve">IPO Market Recovery: </w:t>
      </w:r>
      <w:r>
        <w:rPr>
          <w:rFonts w:ascii="Calibri" w:hAnsi="Calibri"/>
          <w:color w:val="525866"/>
          <w:sz w:val="22"/>
        </w:rPr>
        <w:t>Gray noted the IPO market "has really found its footing," with BX completing its third IPO of the year and seven more on file globally. Net realizations were up 26% in Q1, and the firm is confident in the back half of the year despite the war slowing near-term activity.</w:t>
      </w:r>
    </w:p>
    <w:p>
      <w:r>
        <w:rPr>
          <w:rFonts w:ascii="Calibri" w:hAnsi="Calibri"/>
          <w:b/>
          <w:color w:val="525866"/>
          <w:sz w:val="22"/>
        </w:rPr>
        <w:t xml:space="preserve">Read-Through for BEN: </w:t>
      </w:r>
      <w:r>
        <w:rPr>
          <w:rFonts w:ascii="Calibri" w:hAnsi="Calibri"/>
          <w:color w:val="525866"/>
          <w:sz w:val="22"/>
        </w:rPr>
        <w:t>An improving IPO and realization environment benefits BEN's alternatives portfolio through performance fees and carry distributions — a potential upside to Q3 performance fees (consensus assumes ~$50M).</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post-earnings development is the $60M retention equity package awarded to the core leadership team on July 21 — a signal of board confidence in the multi-year plan and a commitment to leadership stability through at least 2031. The credit facility extension (July 30) is a housekeeping positive. No negative developments since the April 28 print.</w:t>
      </w:r>
    </w:p>
    <w:p>
      <w:pPr>
        <w:pStyle w:val="ListBullet"/>
        <w:ind w:left="360" w:hanging="360"/>
      </w:pPr>
      <w:r>
        <w:rPr>
          <w:rFonts w:ascii="Calibri" w:hAnsi="Calibri"/>
          <w:b/>
          <w:color w:val="525866"/>
          <w:sz w:val="22"/>
        </w:rPr>
        <w:t xml:space="preserve">July 23, 2026 — $60M Retention Equity Package for Core Leadership (8-K): </w:t>
      </w:r>
      <w:r>
        <w:rPr>
          <w:rFonts w:ascii="Calibri" w:hAnsi="Calibri"/>
          <w:color w:val="525866"/>
          <w:sz w:val="22"/>
        </w:rPr>
        <w:t xml:space="preserve">The Compensation Committee awarded one-time special retention equity grants of ~$15M each to CEO Jennifer Johnson, Co-Presidents Daniel Gamba, Terrence Murphy, and Matthew Nicholls. Awards are 50% PSUs (3-year cliff vest, FY2027–2029 performance period, 0–187.5% payout based on average operating margin and relative TSR) and 50% RSUs (5-year cliff vest to August 2031). CEO and Executive Chairman Gregory Johnson also received carried interest allocations tied to flagship private markets funds (5-year vest, 100% at-risk). </w:t>
      </w:r>
    </w:p>
    <w:p>
      <w:pPr>
        <w:pStyle w:val="ListBullet"/>
        <w:ind w:left="360" w:hanging="360"/>
      </w:pPr>
      <w:r>
        <w:rPr>
          <w:rFonts w:ascii="Calibri" w:hAnsi="Calibri"/>
          <w:b/>
          <w:color w:val="525866"/>
          <w:sz w:val="22"/>
        </w:rPr>
        <w:t xml:space="preserve">Implication: </w:t>
      </w:r>
      <w:r>
        <w:rPr>
          <w:rFonts w:ascii="Calibri" w:hAnsi="Calibri"/>
          <w:color w:val="525866"/>
          <w:sz w:val="22"/>
        </w:rPr>
        <w:t>The PSU performance metric (average operating margin) directly aligns management incentives with the 30%+ FY2027 margin target. The carry incentives align CEO/Chairman compensation with the alternatives fundraising ramp. This is a strong signal of board conviction in the multi-year plan and reduces key-person risk heading into the Lexington flagship close.</w:t>
      </w:r>
    </w:p>
    <w:p>
      <w:pPr>
        <w:pStyle w:val="ListBullet"/>
        <w:ind w:left="360" w:hanging="360"/>
      </w:pPr>
      <w:r>
        <w:rPr>
          <w:rFonts w:ascii="Calibri" w:hAnsi="Calibri"/>
          <w:b/>
          <w:color w:val="525866"/>
          <w:sz w:val="22"/>
        </w:rPr>
        <w:t xml:space="preserve">July 30, 2026 — $1.5B Credit Facility Extended to 2031 (8-K): </w:t>
      </w:r>
      <w:r>
        <w:rPr>
          <w:rFonts w:ascii="Calibri" w:hAnsi="Calibri"/>
          <w:color w:val="525866"/>
          <w:sz w:val="22"/>
        </w:rPr>
        <w:t>Franklin Resources entered into a Second Amended and Restated Credit Agreement with Bank of America as administrative agent, extending the maturity of its $1.5B revolving credit facility from April 2030 to July 2031. The facility includes an option to increase commitments by up to $500M. At closing, $700M was outstanding (rolled from the prior facility). Interest rates are SOFR-based (0.625–1.25% applicable margin) with a commitment fee of 0.050–0.120%. Financial covenant: consolidated net leverage ratio ≤3.25x.</w:t>
      </w:r>
    </w:p>
    <w:p>
      <w:pPr>
        <w:pStyle w:val="ListBullet"/>
        <w:ind w:left="360" w:hanging="360"/>
      </w:pPr>
      <w:r>
        <w:rPr>
          <w:rFonts w:ascii="Calibri" w:hAnsi="Calibri"/>
          <w:b/>
          <w:color w:val="525866"/>
          <w:sz w:val="22"/>
        </w:rPr>
        <w:t xml:space="preserve">Implication: </w:t>
      </w:r>
      <w:r>
        <w:rPr>
          <w:rFonts w:ascii="Calibri" w:hAnsi="Calibri"/>
          <w:color w:val="525866"/>
          <w:sz w:val="22"/>
        </w:rPr>
        <w:t>Housekeeping positive — extends liquidity runway and provides flexibility for seed capital, co-invest, and opportunistic M&amp;A. The $700M outstanding is consistent with management's commentary that seed capital and co-invest balance sheet allocation is approaching $3B by year-end.</w:t>
      </w:r>
    </w:p>
    <w:p>
      <w:pPr>
        <w:pStyle w:val="ListBullet"/>
        <w:ind w:left="360" w:hanging="360"/>
      </w:pPr>
      <w:r>
        <w:rPr>
          <w:rFonts w:ascii="Calibri" w:hAnsi="Calibri"/>
          <w:b/>
          <w:color w:val="525866"/>
          <w:sz w:val="22"/>
        </w:rPr>
        <w:t xml:space="preserve">July 1, 2026 — Q3 FY2026 Earnings Announcement Scheduled for July 31, 2026 (Press Release): </w:t>
      </w:r>
      <w:r>
        <w:rPr>
          <w:rFonts w:ascii="Calibri" w:hAnsi="Calibri"/>
          <w:color w:val="525866"/>
          <w:sz w:val="22"/>
        </w:rPr>
        <w:t>Franklin Resources confirmed the Q3 FY2026 earnings release date. No pre-announcement or guidance update was included.</w:t>
      </w:r>
    </w:p>
    <w:p>
      <w:pPr>
        <w:pStyle w:val="ListBullet"/>
        <w:ind w:left="360" w:hanging="360"/>
      </w:pPr>
      <w:r>
        <w:rPr>
          <w:rFonts w:ascii="Calibri" w:hAnsi="Calibri"/>
          <w:b/>
          <w:color w:val="525866"/>
          <w:sz w:val="22"/>
        </w:rPr>
        <w:t xml:space="preserve">April 28, 2026 — Q2 FY2026 Earnings Beat; Franklin Crypto Acquisition Announced: </w:t>
      </w:r>
      <w:r>
        <w:rPr>
          <w:rFonts w:ascii="Calibri" w:hAnsi="Calibri"/>
          <w:color w:val="525866"/>
          <w:sz w:val="22"/>
        </w:rPr>
        <w:t>BEN reported Q2 FY2026 adjusted EPS of $0.71 (vs. $0.55 consensus, +29% beat) and long-term net inflows of $16.9B. Record gross sales and positive flows in every region. Announced acquisition of 250 Digital (Franklin Crypto) to expand digital assets platform, targeting institutional crypto-native expertise alongside existing tokenized product launches. FY-to-date private markets fundraising of $22.7B already matching full-year 2025 levels.</w:t>
      </w:r>
    </w:p>
    <w:p>
      <w:pPr>
        <w:pStyle w:val="ListBullet"/>
        <w:ind w:left="360" w:hanging="360"/>
      </w:pPr>
      <w:r>
        <w:rPr>
          <w:rFonts w:ascii="Calibri" w:hAnsi="Calibri"/>
          <w:b/>
          <w:color w:val="525866"/>
          <w:sz w:val="22"/>
        </w:rPr>
        <w:t xml:space="preserve">Implication: </w:t>
      </w:r>
      <w:r>
        <w:rPr>
          <w:rFonts w:ascii="Calibri" w:hAnsi="Calibri"/>
          <w:color w:val="525866"/>
          <w:sz w:val="22"/>
        </w:rPr>
        <w:t>The Franklin Crypto acquisition is a strategic optionality play — not a near-term earnings driver, but positions BEN in the growing institutional digital assets space. The Q2 beat set a high bar for Q3, but management's explicit confidence in exceeding the $30B fundraising target provides a clear positive catalyst.</w:t>
      </w:r>
    </w:p>
    <w:p>
      <w:pPr>
        <w:pStyle w:val="ListBullet"/>
        <w:ind w:left="360" w:hanging="360"/>
      </w:pPr>
      <w:r>
        <w:rPr>
          <w:rFonts w:ascii="Calibri" w:hAnsi="Calibri"/>
          <w:b/>
          <w:color w:val="525866"/>
          <w:sz w:val="22"/>
        </w:rPr>
        <w:t xml:space="preserve">Industry Read-Through — Wealth Channel Recovery in June (Multiple Peers): </w:t>
      </w:r>
      <w:r>
        <w:rPr>
          <w:rFonts w:ascii="Calibri" w:hAnsi="Calibri"/>
          <w:color w:val="525866"/>
          <w:sz w:val="22"/>
        </w:rPr>
        <w:t>BX (June 9 conference), KKR (Q2 earnings July 30), OWL (Q2 earnings July 30), and ARES (June 10 conference) all confirmed a meaningful recovery in wealth channel flows in June after April/May softness driven by geopolitical uncertainty. BX noted flows "up 50% back to Q1 levels" by June 1; OWL's July 1 close showed 50%+ increase vs. May 1 close.</w:t>
      </w:r>
    </w:p>
    <w:p>
      <w:pPr>
        <w:pStyle w:val="ListBullet"/>
        <w:ind w:left="360" w:hanging="360"/>
      </w:pPr>
      <w:r>
        <w:rPr>
          <w:rFonts w:ascii="Calibri" w:hAnsi="Calibri"/>
          <w:b/>
          <w:color w:val="525866"/>
          <w:sz w:val="22"/>
        </w:rPr>
        <w:t xml:space="preserve">Implication: </w:t>
      </w:r>
      <w:r>
        <w:rPr>
          <w:rFonts w:ascii="Calibri" w:hAnsi="Calibri"/>
          <w:color w:val="525866"/>
          <w:sz w:val="22"/>
        </w:rPr>
        <w:t>Positive read-through for BEN's Canvas, ETF, and retail SMA flows in Q3. The June recovery likely benefited BEN's fiscal Q3 (ending June 30) and sets up a strong start to fiscal Q4.</w:t>
      </w:r>
    </w:p>
    <w:p>
      <w:pPr>
        <w:pStyle w:val="ListBullet"/>
        <w:ind w:left="360" w:hanging="360"/>
      </w:pPr>
      <w:r>
        <w:rPr>
          <w:rFonts w:ascii="Calibri" w:hAnsi="Calibri"/>
          <w:b/>
          <w:color w:val="525866"/>
          <w:sz w:val="22"/>
        </w:rPr>
        <w:t xml:space="preserve">Industry Read-Through — Record Alternatives Fundraising Environment (BX, KKR, BLK, ARES): </w:t>
      </w:r>
      <w:r>
        <w:rPr>
          <w:rFonts w:ascii="Calibri" w:hAnsi="Calibri"/>
          <w:color w:val="525866"/>
          <w:sz w:val="22"/>
        </w:rPr>
        <w:t>Multiple peers reported record or near-record alternatives fundraising in Q2 2026. BX raised ~$70B; KKR raised $34B (beating 3-year target in 2.5 years); BLK raised $15B in private markets; ARES's Pathfinder III hit its hard cap at $8.5B. Institutional demand for private credit, infrastructure, and secondaries is described as "robust" and "accelerating" across the board.</w:t>
      </w:r>
    </w:p>
    <w:p>
      <w:pPr>
        <w:pStyle w:val="ListBullet"/>
        <w:ind w:left="360" w:hanging="360"/>
      </w:pPr>
      <w:r>
        <w:rPr>
          <w:rFonts w:ascii="Calibri" w:hAnsi="Calibri"/>
          <w:b/>
          <w:color w:val="525866"/>
          <w:sz w:val="22"/>
        </w:rPr>
        <w:t xml:space="preserve">Implication: </w:t>
      </w:r>
      <w:r>
        <w:rPr>
          <w:rFonts w:ascii="Calibri" w:hAnsi="Calibri"/>
          <w:color w:val="525866"/>
          <w:sz w:val="22"/>
        </w:rPr>
        <w:t>Validates BEN's alternatives fundraising trajectory and supports the case for exceeding the $30B annual target. Particularly relevant for BEN's Lexington (secondaries) and private credit strategies.</w:t>
      </w:r>
    </w:p>
    <w:p>
      <w:pPr>
        <w:pStyle w:val="ListBullet"/>
        <w:ind w:left="360" w:hanging="360"/>
      </w:pPr>
      <w:r>
        <w:rPr>
          <w:rFonts w:ascii="Calibri" w:hAnsi="Calibri"/>
          <w:b/>
          <w:color w:val="525866"/>
          <w:sz w:val="22"/>
        </w:rPr>
        <w:t xml:space="preserve">Industry Read-Through — Active ETF and Personalization Demand (BLK, IVZ): </w:t>
      </w:r>
      <w:r>
        <w:rPr>
          <w:rFonts w:ascii="Calibri" w:hAnsi="Calibri"/>
          <w:color w:val="525866"/>
          <w:sz w:val="22"/>
        </w:rPr>
        <w:t>BLK reported $20B of active ETF net inflows in Q2 (5th consecutive quarter of double-digit organic base fee growth in iShares). IVZ reported record $30B of ETF net inflows in Q2 (17% annualized organic growth). BLK's Aperio (direct indexing) generated $7B of Q2 net inflows, with 2026 flows of ~$20B already surpassing 2025's record.</w:t>
      </w:r>
    </w:p>
    <w:p>
      <w:pPr>
        <w:pStyle w:val="ListBullet"/>
        <w:ind w:left="360" w:hanging="360"/>
      </w:pPr>
      <w:r>
        <w:rPr>
          <w:rFonts w:ascii="Calibri" w:hAnsi="Calibri"/>
          <w:b/>
          <w:color w:val="525866"/>
          <w:sz w:val="22"/>
        </w:rPr>
        <w:t xml:space="preserve">Implication: </w:t>
      </w:r>
      <w:r>
        <w:rPr>
          <w:rFonts w:ascii="Calibri" w:hAnsi="Calibri"/>
          <w:color w:val="525866"/>
          <w:sz w:val="22"/>
        </w:rPr>
        <w:t>Strong positive read-through for BEN's ETF AUM (18 consecutive quarters of positive flows, $61.6B AUM) and Canvas platform ($22.9B AUM, $5.3B Q2 net inflows). The structural demand for active ETFs and tax-managed personalization is accelerating industry-wide.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open-market transaction in the post-earnings window is a large sale by Clarion Partners Real Estate Income Fund (an affiliate of an investment adviser) — this is a fund-level disposition, not a discretionary insider sale by a named executive, and carries no negative signal. The $60M retention equity package awarded to the core leadership team on July 21 (PSUs + RSUs) is the more meaningful insider signal — it aligns management with the multi-year margin and alternatives growth targets.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Clarion Partners Real Estate Income Fund Inc. (Issuer)</w:t>
            </w:r>
          </w:p>
        </w:tc>
        <w:tc>
          <w:tcPr>
            <w:tcW w:type="dxa" w:w="1440"/>
          </w:tcPr>
          <w:p>
            <w:r>
              <w:rPr>
                <w:rFonts w:ascii="Calibri" w:hAnsi="Calibri"/>
                <w:sz w:val="22"/>
              </w:rPr>
              <w:t>Affiliate of Investment Adviser</w:t>
            </w:r>
          </w:p>
        </w:tc>
        <w:tc>
          <w:tcPr>
            <w:tcW w:type="dxa" w:w="1440"/>
          </w:tcPr>
          <w:p>
            <w:r>
              <w:rPr>
                <w:rFonts w:ascii="Calibri" w:hAnsi="Calibri"/>
                <w:sz w:val="22"/>
              </w:rPr>
              <w:t>Open Market Sale</w:t>
            </w:r>
          </w:p>
        </w:tc>
        <w:tc>
          <w:tcPr>
            <w:tcW w:type="dxa" w:w="1440"/>
          </w:tcPr>
          <w:p>
            <w:r>
              <w:rPr>
                <w:rFonts w:ascii="Calibri" w:hAnsi="Calibri"/>
                <w:sz w:val="22"/>
              </w:rPr>
              <w:t>1,682,905 shares; ~$54.5M est.</w:t>
            </w:r>
          </w:p>
        </w:tc>
        <w:tc>
          <w:tcPr>
            <w:tcW w:type="dxa" w:w="1440"/>
          </w:tcPr>
          <w:p>
            <w:r>
              <w:rPr>
                <w:rFonts w:ascii="Calibri" w:hAnsi="Calibri"/>
                <w:sz w:val="22"/>
              </w:rPr>
              <w:t>July 20, 2026 (filed July 22)</w:t>
            </w:r>
          </w:p>
        </w:tc>
        <w:tc>
          <w:tcPr>
            <w:tcW w:type="dxa" w:w="1440"/>
          </w:tcPr>
          <w:p>
            <w:r>
              <w:rPr>
                <w:rFonts w:ascii="Calibri" w:hAnsi="Calibri"/>
                <w:sz w:val="22"/>
              </w:rPr>
              <w:t>Fund-level disposition by an affiliated investment adviser entity — not a discretionary executive sale. No negative signal for BEN's operating outlook. Remaining position: 5,103,658 shares.</w:t>
            </w:r>
          </w:p>
        </w:tc>
      </w:tr>
    </w:tbl>
    <w:p>
      <w:r>
        <w:rPr>
          <w:rFonts w:ascii="Calibri" w:hAnsi="Calibri"/>
          <w:i/>
          <w:color w:val="525866"/>
          <w:sz w:val="22"/>
        </w:rPr>
        <w:t>No open-market purchases or discretionary sales by named executives (CEO, CFO, Co-Presidents, Directors) were filed in the April 28 – July 30, 2026 window. The absence of executive selling ahead of the print is a mild positive signal. The $60M retention equity package (PSUs + RSUs + carry incentives) awarded July 21 represents the most meaningful insider alignment event — management's compensation is now directly tied to achieving the 30%+ FY2027 operating margin target and alternatives fundraising performance.</w:t>
      </w:r>
    </w:p>
    <w:p>
      <w:r>
        <w:rPr>
          <w:rFonts w:ascii="Calibri" w:hAnsi="Calibri"/>
          <w:i/>
          <w:color w:val="525866"/>
          <w:sz w:val="22"/>
        </w:rPr>
        <w:t>Source: SEC Form 4 Filings Database /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