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Franklin Resources, Inc. (BEN) —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Franklin Resources, Inc. (Franklin Templeton)</w:t>
            </w:r>
          </w:p>
        </w:tc>
      </w:tr>
      <w:tr>
        <w:tc>
          <w:tcPr>
            <w:tcW w:type="dxa" w:w="4320"/>
          </w:tcPr>
          <w:p>
            <w:r>
              <w:rPr>
                <w:rFonts w:ascii="Calibri" w:hAnsi="Calibri"/>
                <w:b/>
                <w:sz w:val="22"/>
              </w:rPr>
              <w:t>Ticker</w:t>
            </w:r>
          </w:p>
        </w:tc>
        <w:tc>
          <w:tcPr>
            <w:tcW w:type="dxa" w:w="4320"/>
          </w:tcPr>
          <w:p>
            <w:r>
              <w:rPr>
                <w:rFonts w:ascii="Calibri" w:hAnsi="Calibri"/>
                <w:sz w:val="22"/>
              </w:rPr>
              <w:t>BEN US</w:t>
            </w:r>
          </w:p>
        </w:tc>
      </w:tr>
      <w:tr>
        <w:tc>
          <w:tcPr>
            <w:tcW w:type="dxa" w:w="4320"/>
          </w:tcPr>
          <w:p>
            <w:r>
              <w:rPr>
                <w:rFonts w:ascii="Calibri" w:hAnsi="Calibri"/>
                <w:b/>
                <w:sz w:val="22"/>
              </w:rPr>
              <w:t>Reporting Period</w:t>
            </w:r>
          </w:p>
        </w:tc>
        <w:tc>
          <w:tcPr>
            <w:tcW w:type="dxa" w:w="4320"/>
          </w:tcPr>
          <w:p>
            <w:r>
              <w:rPr>
                <w:rFonts w:ascii="Calibri" w:hAnsi="Calibri"/>
                <w:sz w:val="22"/>
              </w:rPr>
              <w:t>Fiscal Q3 2026 (quarter ended June 30, 2026)</w:t>
            </w:r>
          </w:p>
        </w:tc>
      </w:tr>
      <w:tr>
        <w:tc>
          <w:tcPr>
            <w:tcW w:type="dxa" w:w="4320"/>
          </w:tcPr>
          <w:p>
            <w:r>
              <w:rPr>
                <w:rFonts w:ascii="Calibri" w:hAnsi="Calibri"/>
                <w:b/>
                <w:sz w:val="22"/>
              </w:rPr>
              <w:t>Earnings Date / Call</w:t>
            </w:r>
          </w:p>
        </w:tc>
        <w:tc>
          <w:tcPr>
            <w:tcW w:type="dxa" w:w="4320"/>
          </w:tcPr>
          <w:p>
            <w:r>
              <w:rPr>
                <w:rFonts w:ascii="Calibri" w:hAnsi="Calibri"/>
                <w:sz w:val="22"/>
              </w:rPr>
              <w:t>July 31, 2026 — 10:00 AM ET</w:t>
            </w:r>
          </w:p>
        </w:tc>
      </w:tr>
      <w:tr>
        <w:tc>
          <w:tcPr>
            <w:tcW w:type="dxa" w:w="4320"/>
          </w:tcPr>
          <w:p>
            <w:r>
              <w:rPr>
                <w:rFonts w:ascii="Calibri" w:hAnsi="Calibri"/>
                <w:b/>
                <w:sz w:val="22"/>
              </w:rPr>
              <w:t>Prepared</w:t>
            </w:r>
          </w:p>
        </w:tc>
        <w:tc>
          <w:tcPr>
            <w:tcW w:type="dxa" w:w="4320"/>
          </w:tcPr>
          <w:p>
            <w:r>
              <w:rPr>
                <w:rFonts w:ascii="Calibri" w:hAnsi="Calibri"/>
                <w:sz w:val="22"/>
              </w:rPr>
              <w:t>July 30, 2026</w:t>
            </w:r>
          </w:p>
        </w:tc>
      </w:tr>
      <w:tr>
        <w:tc>
          <w:tcPr>
            <w:tcW w:type="dxa" w:w="4320"/>
          </w:tcPr>
          <w:p>
            <w:r>
              <w:rPr>
                <w:rFonts w:ascii="Calibri" w:hAnsi="Calibri"/>
                <w:b/>
                <w:sz w:val="22"/>
              </w:rPr>
              <w:t>Top 2 KPIs</w:t>
            </w:r>
          </w:p>
        </w:tc>
        <w:tc>
          <w:tcPr>
            <w:tcW w:type="dxa" w:w="4320"/>
          </w:tcPr>
          <w:p>
            <w:r>
              <w:rPr>
                <w:rFonts w:ascii="Calibri" w:hAnsi="Calibri"/>
                <w:sz w:val="22"/>
              </w:rPr>
              <w:t>Operating EPS (Diluted) | Total Net Flows</w:t>
            </w:r>
          </w:p>
        </w:tc>
      </w:tr>
      <w:tr>
        <w:tc>
          <w:tcPr>
            <w:tcW w:type="dxa" w:w="4320"/>
          </w:tcPr>
          <w:p>
            <w:r>
              <w:rPr>
                <w:rFonts w:ascii="Calibri" w:hAnsi="Calibri"/>
                <w:b/>
                <w:sz w:val="22"/>
              </w:rPr>
              <w:t>Primary Valuation Metric</w:t>
            </w:r>
          </w:p>
        </w:tc>
        <w:tc>
          <w:tcPr>
            <w:tcW w:type="dxa" w:w="4320"/>
          </w:tcPr>
          <w:p>
            <w:r>
              <w:rPr>
                <w:rFonts w:ascii="Calibri" w:hAnsi="Calibri"/>
                <w:sz w:val="22"/>
              </w:rPr>
              <w:t>P/E (NTM) — currently ~10.6x</w:t>
            </w:r>
          </w:p>
        </w:tc>
      </w:tr>
    </w:tbl>
    <w:p>
      <w:r>
        <w:br w:type="page"/>
      </w:r>
    </w:p>
    <w:p>
      <w:pPr>
        <w:pStyle w:val="Heading1"/>
        <w:pBdr>
          <w:bottom w:val="single" w:sz="4" w:space="1" w:color="FB9120"/>
        </w:pBdr>
      </w:pPr>
      <w:r>
        <w:rPr>
          <w:rFonts w:ascii="Calibri" w:hAnsi="Calibri"/>
          <w:b/>
          <w:color w:val="3B4259"/>
          <w:sz w:val="40"/>
        </w:rPr>
        <w:t>1. Earnings Preview</w:t>
      </w:r>
    </w:p>
    <w:p>
      <w:r>
        <w:rPr>
          <w:rFonts w:ascii="Calibri" w:hAnsi="Calibri"/>
          <w:b/>
          <w:color w:val="525866"/>
          <w:sz w:val="22"/>
        </w:rPr>
        <w:t xml:space="preserve">Key Takeaway: </w:t>
      </w:r>
      <w:r>
        <w:rPr>
          <w:rFonts w:ascii="Calibri" w:hAnsi="Calibri"/>
          <w:color w:val="525866"/>
          <w:sz w:val="22"/>
        </w:rPr>
        <w:t>The setup is modestly constructive — consensus is a beatable bar on EPS and flows, but the single biggest swing factor is whether private markets fundraising commentary confirms the firm is tracking above its already-raised $30B+ annual target heading into the fiscal year-end quarter.</w:t>
      </w:r>
    </w:p>
    <w:p>
      <w:r>
        <w:rPr>
          <w:rFonts w:ascii="Calibri" w:hAnsi="Calibri"/>
          <w:color w:val="525866"/>
          <w:sz w:val="22"/>
        </w:rPr>
        <w:t xml:space="preserve">Heading into BEN’s fiscal Q3 2026 print, the bar looks achievable: consensus Operating EPS of $0.66 sits below the $0.70–$0.71 actuals of the prior two quarters, and total net flow consensus of ~$11.5B is well below the $26.8B and $28.3B delivered in Q1 and Q2 respectively, though management guided for a sequential step-down in flows given the record pace of prior quarters. </w:t>
      </w:r>
      <w:r>
        <w:rPr>
          <w:rFonts w:ascii="Calibri" w:hAnsi="Calibri"/>
          <w:b/>
          <w:color w:val="525866"/>
          <w:sz w:val="22"/>
        </w:rPr>
        <w:t>Management’s tone on the April 28 call was notably confident</w:t>
      </w:r>
      <w:r>
        <w:rPr>
          <w:rFonts w:ascii="Calibri" w:hAnsi="Calibri"/>
          <w:color w:val="525866"/>
          <w:sz w:val="22"/>
        </w:rPr>
        <w:t xml:space="preserve"> — reiterating Q4 margin guidance of “high 29s” and full-year fiscal 2027 target of 30%+, both described as “ahead of plan” — and there has been no subsequent guidance revision or cautionary signal. Estimate revisions have drifted higher since the Q2 print, with the 3Q26 Operating EPS consensus rising from $0.61 to $0.66 and revenue estimates moving up ~$44M, suggesting the Street has been gradually upgrading its view rather than fading the momentum. </w:t>
      </w:r>
      <w:r>
        <w:rPr>
          <w:rFonts w:ascii="Calibri" w:hAnsi="Calibri"/>
          <w:b/>
          <w:color w:val="525866"/>
          <w:sz w:val="22"/>
        </w:rPr>
        <w:t>The stock has rallied ~13% since the April 28 earnings date</w:t>
      </w:r>
      <w:r>
        <w:rPr>
          <w:rFonts w:ascii="Calibri" w:hAnsi="Calibri"/>
          <w:color w:val="525866"/>
          <w:sz w:val="22"/>
        </w:rPr>
        <w:t xml:space="preserve"> (vs. XLF +10%, S&amp;P 500 +4%), meaning some beat is already priced in, though the NTM P/E of ~10.6x remains well below the asset management peer group average, leaving room for further re-rating if the alternatives fundraising narrative holds. The key wildcard is the Lexington flagship fund update — management flagged on the Q2 call that a formal filing would come “probably towards the end of ’26” (fiscal year-end September), and any early color on fund size relative to the prior vintage could be a meaningful positive or negative catalyst.</w:t>
      </w:r>
    </w:p>
    <w:p>
      <w:r>
        <w:br w:type="page"/>
      </w:r>
    </w:p>
    <w:p>
      <w:pPr>
        <w:pStyle w:val="Heading1"/>
        <w:pBdr>
          <w:bottom w:val="single" w:sz="4" w:space="1" w:color="FB9120"/>
        </w:pBdr>
      </w:pPr>
      <w:r>
        <w:rPr>
          <w:rFonts w:ascii="Calibri" w:hAnsi="Calibri"/>
          <w:b/>
          <w:color w:val="3B4259"/>
          <w:sz w:val="40"/>
        </w:rPr>
        <w:t>2. KPIs &amp; Consensus Expectations</w:t>
      </w:r>
    </w:p>
    <w:p>
      <w:r>
        <w:rPr>
          <w:rFonts w:ascii="Calibri" w:hAnsi="Calibri"/>
          <w:b/>
          <w:color w:val="525866"/>
          <w:sz w:val="22"/>
        </w:rPr>
        <w:t xml:space="preserve">Key Takeaway: </w:t>
      </w:r>
      <w:r>
        <w:rPr>
          <w:rFonts w:ascii="Calibri" w:hAnsi="Calibri"/>
          <w:color w:val="525866"/>
          <w:sz w:val="22"/>
        </w:rPr>
        <w:t>Consensus is a low bar on both EPS ($0.66 vs. $0.70–$0.71 in the prior two quarters) and net flows (~$11.5B vs. $26.8B–$28.3B prior). The bigger swing factor is the effective fee rate and whether elevated G&amp;A from fundraising-related expenses compresses the margin more than guided.</w:t>
      </w:r>
    </w:p>
    <w:p>
      <w:pPr>
        <w:pStyle w:val="Heading2"/>
      </w:pPr>
      <w:r>
        <w:rPr>
          <w:rFonts w:ascii="Calibri" w:hAnsi="Calibri"/>
          <w:b/>
          <w:color w:val="3B4259"/>
          <w:sz w:val="28"/>
        </w:rPr>
        <w:t>Table 1 — Current Quarter Snapshot (Fiscal 3Q 2026, Quarter Ending June 30, 2026)</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Last Quarter Actual (2Q26)</w:t>
            </w:r>
          </w:p>
        </w:tc>
        <w:tc>
          <w:tcPr>
            <w:tcW w:type="dxa" w:w="1234"/>
            <w:shd w:val="clear" w:color="auto" w:fill="3B4259"/>
          </w:tcPr>
          <w:p>
            <w:r>
              <w:rPr>
                <w:rFonts w:ascii="Calibri" w:hAnsi="Calibri"/>
                <w:b/>
                <w:color w:val="FFFFFF"/>
                <w:sz w:val="22"/>
              </w:rPr>
              <w:t>Prior Year Period Actual (3Q25)</w:t>
            </w:r>
          </w:p>
        </w:tc>
        <w:tc>
          <w:tcPr>
            <w:tcW w:type="dxa" w:w="1234"/>
            <w:shd w:val="clear" w:color="auto" w:fill="3B4259"/>
          </w:tcPr>
          <w:p>
            <w:r>
              <w:rPr>
                <w:rFonts w:ascii="Calibri" w:hAnsi="Calibri"/>
                <w:b/>
                <w:color w:val="FFFFFF"/>
                <w:sz w:val="22"/>
              </w:rPr>
              <w:t>3Q26 Consensus Estimate</w:t>
            </w:r>
          </w:p>
        </w:tc>
        <w:tc>
          <w:tcPr>
            <w:tcW w:type="dxa" w:w="1234"/>
            <w:shd w:val="clear" w:color="auto" w:fill="3B4259"/>
          </w:tcPr>
          <w:p>
            <w:r>
              <w:rPr>
                <w:rFonts w:ascii="Calibri" w:hAnsi="Calibri"/>
                <w:b/>
                <w:color w:val="FFFFFF"/>
                <w:sz w:val="22"/>
              </w:rPr>
              <w:t>YoY Change (vs. 3Q25)</w:t>
            </w:r>
          </w:p>
        </w:tc>
        <w:tc>
          <w:tcPr>
            <w:tcW w:type="dxa" w:w="1234"/>
            <w:shd w:val="clear" w:color="auto" w:fill="3B4259"/>
          </w:tcPr>
          <w:p>
            <w:r>
              <w:rPr>
                <w:rFonts w:ascii="Calibri" w:hAnsi="Calibri"/>
                <w:b/>
                <w:color w:val="FFFFFF"/>
                <w:sz w:val="22"/>
              </w:rPr>
              <w:t>Guidance (from Q2 call)</w:t>
            </w:r>
          </w:p>
        </w:tc>
        <w:tc>
          <w:tcPr>
            <w:tcW w:type="dxa" w:w="1234"/>
            <w:shd w:val="clear" w:color="auto" w:fill="3B4259"/>
          </w:tcPr>
          <w:p>
            <w:r>
              <w:rPr>
                <w:rFonts w:ascii="Calibri" w:hAnsi="Calibri"/>
                <w:b/>
                <w:color w:val="FFFFFF"/>
                <w:sz w:val="22"/>
              </w:rPr>
              <w:t>Consensus vs. Guidance</w:t>
            </w:r>
          </w:p>
        </w:tc>
      </w:tr>
      <w:tr>
        <w:tc>
          <w:tcPr>
            <w:tcW w:type="dxa" w:w="1234"/>
          </w:tcPr>
          <w:p>
            <w:r>
              <w:rPr>
                <w:rFonts w:ascii="Calibri" w:hAnsi="Calibri"/>
                <w:sz w:val="22"/>
              </w:rPr>
              <w:t>Operating EPS — Diluted ($)</w:t>
            </w:r>
          </w:p>
        </w:tc>
        <w:tc>
          <w:tcPr>
            <w:tcW w:type="dxa" w:w="1234"/>
          </w:tcPr>
          <w:p>
            <w:r>
              <w:rPr>
                <w:rFonts w:ascii="Calibri" w:hAnsi="Calibri"/>
                <w:sz w:val="22"/>
              </w:rPr>
              <w:t>$0.71</w:t>
            </w:r>
          </w:p>
        </w:tc>
        <w:tc>
          <w:tcPr>
            <w:tcW w:type="dxa" w:w="1234"/>
          </w:tcPr>
          <w:p>
            <w:r>
              <w:rPr>
                <w:rFonts w:ascii="Calibri" w:hAnsi="Calibri"/>
                <w:sz w:val="22"/>
              </w:rPr>
              <w:t>$0.49</w:t>
            </w:r>
          </w:p>
        </w:tc>
        <w:tc>
          <w:tcPr>
            <w:tcW w:type="dxa" w:w="1234"/>
          </w:tcPr>
          <w:p>
            <w:r>
              <w:rPr>
                <w:rFonts w:ascii="Calibri" w:hAnsi="Calibri"/>
                <w:sz w:val="22"/>
              </w:rPr>
              <w:t>$0.66</w:t>
            </w:r>
          </w:p>
        </w:tc>
        <w:tc>
          <w:tcPr>
            <w:tcW w:type="dxa" w:w="1234"/>
          </w:tcPr>
          <w:p>
            <w:r>
              <w:rPr>
                <w:rFonts w:ascii="Calibri" w:hAnsi="Calibri"/>
                <w:sz w:val="22"/>
              </w:rPr>
              <w:t>+34.7% YoY</w:t>
            </w:r>
          </w:p>
        </w:tc>
        <w:tc>
          <w:tcPr>
            <w:tcW w:type="dxa" w:w="1234"/>
          </w:tcPr>
          <w:p>
            <w:r>
              <w:rPr>
                <w:rFonts w:ascii="Calibri" w:hAnsi="Calibri"/>
                <w:sz w:val="22"/>
              </w:rPr>
              <w:t>No explicit EPS guide; implied by expense/revenue guidance</w:t>
            </w:r>
          </w:p>
        </w:tc>
        <w:tc>
          <w:tcPr>
            <w:tcW w:type="dxa" w:w="1234"/>
          </w:tcPr>
          <w:p>
            <w:r>
              <w:rPr>
                <w:rFonts w:ascii="Calibri" w:hAnsi="Calibri"/>
                <w:sz w:val="22"/>
              </w:rPr>
              <w:t>N/A (no explicit EPS guide)</w:t>
            </w:r>
          </w:p>
        </w:tc>
      </w:tr>
      <w:tr>
        <w:tc>
          <w:tcPr>
            <w:tcW w:type="dxa" w:w="1234"/>
          </w:tcPr>
          <w:p>
            <w:r>
              <w:rPr>
                <w:rFonts w:ascii="Calibri" w:hAnsi="Calibri"/>
                <w:sz w:val="22"/>
              </w:rPr>
              <w:t>Total Operating Revenue — Operating ($B)</w:t>
            </w:r>
          </w:p>
        </w:tc>
        <w:tc>
          <w:tcPr>
            <w:tcW w:type="dxa" w:w="1234"/>
          </w:tcPr>
          <w:p>
            <w:r>
              <w:rPr>
                <w:rFonts w:ascii="Calibri" w:hAnsi="Calibri"/>
                <w:sz w:val="22"/>
              </w:rPr>
              <w:t>$1.753B</w:t>
            </w:r>
          </w:p>
        </w:tc>
        <w:tc>
          <w:tcPr>
            <w:tcW w:type="dxa" w:w="1234"/>
          </w:tcPr>
          <w:p>
            <w:r>
              <w:rPr>
                <w:rFonts w:ascii="Calibri" w:hAnsi="Calibri"/>
                <w:sz w:val="22"/>
              </w:rPr>
              <w:t>$1.593B</w:t>
            </w:r>
          </w:p>
        </w:tc>
        <w:tc>
          <w:tcPr>
            <w:tcW w:type="dxa" w:w="1234"/>
          </w:tcPr>
          <w:p>
            <w:r>
              <w:rPr>
                <w:rFonts w:ascii="Calibri" w:hAnsi="Calibri"/>
                <w:sz w:val="22"/>
              </w:rPr>
              <w:t>$1.783B</w:t>
            </w:r>
          </w:p>
        </w:tc>
        <w:tc>
          <w:tcPr>
            <w:tcW w:type="dxa" w:w="1234"/>
          </w:tcPr>
          <w:p>
            <w:r>
              <w:rPr>
                <w:rFonts w:ascii="Calibri" w:hAnsi="Calibri"/>
                <w:sz w:val="22"/>
              </w:rPr>
              <w:t>+11.9% YoY</w:t>
            </w:r>
          </w:p>
        </w:tc>
        <w:tc>
          <w:tcPr>
            <w:tcW w:type="dxa" w:w="1234"/>
          </w:tcPr>
          <w:p>
            <w:r>
              <w:rPr>
                <w:rFonts w:ascii="Calibri" w:hAnsi="Calibri"/>
                <w:sz w:val="22"/>
              </w:rPr>
              <w:t>Effective fee rate mid-to-high 37s bps; inv. mgmt. fee revenue +6%+ YoY</w:t>
            </w:r>
          </w:p>
        </w:tc>
        <w:tc>
          <w:tcPr>
            <w:tcW w:type="dxa" w:w="1234"/>
          </w:tcPr>
          <w:p>
            <w:r>
              <w:rPr>
                <w:rFonts w:ascii="Calibri" w:hAnsi="Calibri"/>
                <w:sz w:val="22"/>
              </w:rPr>
              <w:t>Broadly in line with guidance</w:t>
            </w:r>
          </w:p>
        </w:tc>
      </w:tr>
      <w:tr>
        <w:tc>
          <w:tcPr>
            <w:tcW w:type="dxa" w:w="1234"/>
          </w:tcPr>
          <w:p>
            <w:r>
              <w:rPr>
                <w:rFonts w:ascii="Calibri" w:hAnsi="Calibri"/>
                <w:sz w:val="22"/>
              </w:rPr>
              <w:t>Total Net Flows ($B)</w:t>
            </w:r>
          </w:p>
        </w:tc>
        <w:tc>
          <w:tcPr>
            <w:tcW w:type="dxa" w:w="1234"/>
          </w:tcPr>
          <w:p>
            <w:r>
              <w:rPr>
                <w:rFonts w:ascii="Calibri" w:hAnsi="Calibri"/>
                <w:sz w:val="22"/>
              </w:rPr>
              <w:t>$28.3B</w:t>
            </w:r>
          </w:p>
        </w:tc>
        <w:tc>
          <w:tcPr>
            <w:tcW w:type="dxa" w:w="1234"/>
          </w:tcPr>
          <w:p>
            <w:r>
              <w:rPr>
                <w:rFonts w:ascii="Calibri" w:hAnsi="Calibri"/>
                <w:sz w:val="22"/>
              </w:rPr>
              <w:t>-$6.6B</w:t>
            </w:r>
          </w:p>
        </w:tc>
        <w:tc>
          <w:tcPr>
            <w:tcW w:type="dxa" w:w="1234"/>
          </w:tcPr>
          <w:p>
            <w:r>
              <w:rPr>
                <w:rFonts w:ascii="Calibri" w:hAnsi="Calibri"/>
                <w:sz w:val="22"/>
              </w:rPr>
              <w:t>$11.5B</w:t>
            </w:r>
          </w:p>
        </w:tc>
        <w:tc>
          <w:tcPr>
            <w:tcW w:type="dxa" w:w="1234"/>
          </w:tcPr>
          <w:p>
            <w:r>
              <w:rPr>
                <w:rFonts w:ascii="Calibri" w:hAnsi="Calibri"/>
                <w:sz w:val="22"/>
              </w:rPr>
              <w:t>N/M (prior year negative)</w:t>
            </w:r>
          </w:p>
        </w:tc>
        <w:tc>
          <w:tcPr>
            <w:tcW w:type="dxa" w:w="1234"/>
          </w:tcPr>
          <w:p>
            <w:r>
              <w:rPr>
                <w:rFonts w:ascii="Calibri" w:hAnsi="Calibri"/>
                <w:sz w:val="22"/>
              </w:rPr>
              <w:t>No explicit flow guide; sequential step-down expected from record Q2</w:t>
            </w:r>
          </w:p>
        </w:tc>
        <w:tc>
          <w:tcPr>
            <w:tcW w:type="dxa" w:w="1234"/>
          </w:tcPr>
          <w:p>
            <w:r>
              <w:rPr>
                <w:rFonts w:ascii="Calibri" w:hAnsi="Calibri"/>
                <w:sz w:val="22"/>
              </w:rPr>
              <w:t>N/A (no explicit flow guide)</w:t>
            </w:r>
          </w:p>
        </w:tc>
      </w:tr>
      <w:tr>
        <w:tc>
          <w:tcPr>
            <w:tcW w:type="dxa" w:w="1234"/>
          </w:tcPr>
          <w:p>
            <w:r>
              <w:rPr>
                <w:rFonts w:ascii="Calibri" w:hAnsi="Calibri"/>
                <w:sz w:val="22"/>
              </w:rPr>
              <w:t>Ending AUM ($T)</w:t>
            </w:r>
          </w:p>
        </w:tc>
        <w:tc>
          <w:tcPr>
            <w:tcW w:type="dxa" w:w="1234"/>
          </w:tcPr>
          <w:p>
            <w:r>
              <w:rPr>
                <w:rFonts w:ascii="Calibri" w:hAnsi="Calibri"/>
                <w:sz w:val="22"/>
              </w:rPr>
              <w:t>$1.682T</w:t>
            </w:r>
          </w:p>
        </w:tc>
        <w:tc>
          <w:tcPr>
            <w:tcW w:type="dxa" w:w="1234"/>
          </w:tcPr>
          <w:p>
            <w:r>
              <w:rPr>
                <w:rFonts w:ascii="Calibri" w:hAnsi="Calibri"/>
                <w:sz w:val="22"/>
              </w:rPr>
              <w:t>$1.612T</w:t>
            </w:r>
          </w:p>
        </w:tc>
        <w:tc>
          <w:tcPr>
            <w:tcW w:type="dxa" w:w="1234"/>
          </w:tcPr>
          <w:p>
            <w:r>
              <w:rPr>
                <w:rFonts w:ascii="Calibri" w:hAnsi="Calibri"/>
                <w:sz w:val="22"/>
              </w:rPr>
              <w:t>$1.793T</w:t>
            </w:r>
          </w:p>
        </w:tc>
        <w:tc>
          <w:tcPr>
            <w:tcW w:type="dxa" w:w="1234"/>
          </w:tcPr>
          <w:p>
            <w:r>
              <w:rPr>
                <w:rFonts w:ascii="Calibri" w:hAnsi="Calibri"/>
                <w:sz w:val="22"/>
              </w:rPr>
              <w:t>+11.2% YoY</w:t>
            </w:r>
          </w:p>
        </w:tc>
        <w:tc>
          <w:tcPr>
            <w:tcW w:type="dxa" w:w="1234"/>
          </w:tcPr>
          <w:p>
            <w:r>
              <w:rPr>
                <w:rFonts w:ascii="Calibri" w:hAnsi="Calibri"/>
                <w:sz w:val="22"/>
              </w:rPr>
              <w:t>No explicit AUM guide</w:t>
            </w:r>
          </w:p>
        </w:tc>
        <w:tc>
          <w:tcPr>
            <w:tcW w:type="dxa" w:w="1234"/>
          </w:tcPr>
          <w:p>
            <w:r>
              <w:rPr>
                <w:rFonts w:ascii="Calibri" w:hAnsi="Calibri"/>
                <w:sz w:val="22"/>
              </w:rPr>
              <w:t>N/A</w:t>
            </w:r>
          </w:p>
        </w:tc>
      </w:tr>
      <w:tr>
        <w:tc>
          <w:tcPr>
            <w:tcW w:type="dxa" w:w="1234"/>
          </w:tcPr>
          <w:p>
            <w:r>
              <w:rPr>
                <w:rFonts w:ascii="Calibri" w:hAnsi="Calibri"/>
                <w:sz w:val="22"/>
              </w:rPr>
              <w:t>Operating Income — Operating ($M)</w:t>
            </w:r>
          </w:p>
        </w:tc>
        <w:tc>
          <w:tcPr>
            <w:tcW w:type="dxa" w:w="1234"/>
          </w:tcPr>
          <w:p>
            <w:r>
              <w:rPr>
                <w:rFonts w:ascii="Calibri" w:hAnsi="Calibri"/>
                <w:sz w:val="22"/>
              </w:rPr>
              <w:t>$474.6M</w:t>
            </w:r>
          </w:p>
        </w:tc>
        <w:tc>
          <w:tcPr>
            <w:tcW w:type="dxa" w:w="1234"/>
          </w:tcPr>
          <w:p>
            <w:r>
              <w:rPr>
                <w:rFonts w:ascii="Calibri" w:hAnsi="Calibri"/>
                <w:sz w:val="22"/>
              </w:rPr>
              <w:t>$377.8M</w:t>
            </w:r>
          </w:p>
        </w:tc>
        <w:tc>
          <w:tcPr>
            <w:tcW w:type="dxa" w:w="1234"/>
          </w:tcPr>
          <w:p>
            <w:r>
              <w:rPr>
                <w:rFonts w:ascii="Calibri" w:hAnsi="Calibri"/>
                <w:sz w:val="22"/>
              </w:rPr>
              <w:t>$489.6M</w:t>
            </w:r>
          </w:p>
        </w:tc>
        <w:tc>
          <w:tcPr>
            <w:tcW w:type="dxa" w:w="1234"/>
          </w:tcPr>
          <w:p>
            <w:r>
              <w:rPr>
                <w:rFonts w:ascii="Calibri" w:hAnsi="Calibri"/>
                <w:sz w:val="22"/>
              </w:rPr>
              <w:t>+29.6% YoY</w:t>
            </w:r>
          </w:p>
        </w:tc>
        <w:tc>
          <w:tcPr>
            <w:tcW w:type="dxa" w:w="1234"/>
          </w:tcPr>
          <w:p>
            <w:r>
              <w:rPr>
                <w:rFonts w:ascii="Calibri" w:hAnsi="Calibri"/>
                <w:sz w:val="22"/>
              </w:rPr>
              <w:t>Q4 FY26 margin guided to high 29s; FY26 full year in high 27s</w:t>
            </w:r>
          </w:p>
        </w:tc>
        <w:tc>
          <w:tcPr>
            <w:tcW w:type="dxa" w:w="1234"/>
          </w:tcPr>
          <w:p>
            <w:r>
              <w:rPr>
                <w:rFonts w:ascii="Calibri" w:hAnsi="Calibri"/>
                <w:sz w:val="22"/>
              </w:rPr>
              <w:t>Broadly in line; implies ~27–28% margin for Q3</w:t>
            </w:r>
          </w:p>
        </w:tc>
      </w:tr>
    </w:tbl>
    <w:p>
      <w:r>
        <w:rPr>
          <w:rFonts w:ascii="Calibri" w:hAnsi="Calibri"/>
          <w:i/>
          <w:color w:val="525866"/>
          <w:sz w:val="22"/>
        </w:rPr>
        <w:t>Sources: Visible Alpha Consensus and Actuals Data</w:t>
      </w:r>
    </w:p>
    <w:p>
      <w:pPr>
        <w:pStyle w:val="Heading2"/>
      </w:pPr>
      <w:r>
        <w:rPr>
          <w:rFonts w:ascii="Calibri" w:hAnsi="Calibri"/>
          <w:b/>
          <w:color w:val="3B4259"/>
          <w:sz w:val="28"/>
        </w:rPr>
        <w:t>Table 2 — Beat / Miss History (Last 8 Quarters, Top 2 KPIs)</w:t>
      </w:r>
    </w:p>
    <w:p>
      <w:pPr>
        <w:pStyle w:val="Heading3"/>
      </w:pPr>
      <w:r>
        <w:rPr>
          <w:rFonts w:ascii="Calibri" w:hAnsi="Calibri"/>
          <w:b/>
          <w:color w:val="3B4259"/>
          <w:sz w:val="24"/>
        </w:rPr>
        <w:t>KPI 1: Operating EPS — Diluted ($)</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w:t>
            </w:r>
          </w:p>
        </w:tc>
        <w:tc>
          <w:tcPr>
            <w:tcW w:type="dxa" w:w="1728"/>
            <w:shd w:val="clear" w:color="auto" w:fill="3B4259"/>
          </w:tcPr>
          <w:p>
            <w:r>
              <w:rPr>
                <w:rFonts w:ascii="Calibri" w:hAnsi="Calibri"/>
                <w:b/>
                <w:color w:val="FFFFFF"/>
                <w:sz w:val="22"/>
              </w:rPr>
              <w:t>Consensus</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4Q FY2024 (Sep-24)</w:t>
            </w:r>
          </w:p>
        </w:tc>
        <w:tc>
          <w:tcPr>
            <w:tcW w:type="dxa" w:w="1728"/>
          </w:tcPr>
          <w:p>
            <w:r>
              <w:rPr>
                <w:rFonts w:ascii="Calibri" w:hAnsi="Calibri"/>
                <w:sz w:val="22"/>
              </w:rPr>
              <w:t>$0.59</w:t>
            </w:r>
          </w:p>
        </w:tc>
        <w:tc>
          <w:tcPr>
            <w:tcW w:type="dxa" w:w="1728"/>
          </w:tcPr>
          <w:p>
            <w:r>
              <w:rPr>
                <w:rFonts w:ascii="Calibri" w:hAnsi="Calibri"/>
                <w:sz w:val="22"/>
              </w:rPr>
              <w:t>$0.595</w:t>
            </w:r>
          </w:p>
        </w:tc>
        <w:tc>
          <w:tcPr>
            <w:tcW w:type="dxa" w:w="1728"/>
          </w:tcPr>
          <w:p>
            <w:r>
              <w:rPr>
                <w:rFonts w:ascii="Calibri" w:hAnsi="Calibri"/>
                <w:sz w:val="22"/>
              </w:rPr>
              <w:t>-0.8%</w:t>
            </w:r>
          </w:p>
        </w:tc>
        <w:tc>
          <w:tcPr>
            <w:tcW w:type="dxa" w:w="1728"/>
          </w:tcPr>
          <w:p>
            <w:r>
              <w:rPr>
                <w:rFonts w:ascii="Calibri" w:hAnsi="Calibri"/>
                <w:b/>
                <w:color w:val="E5484D"/>
                <w:sz w:val="22"/>
              </w:rPr>
              <w:t>Miss</w:t>
            </w:r>
          </w:p>
        </w:tc>
      </w:tr>
      <w:tr>
        <w:tc>
          <w:tcPr>
            <w:tcW w:type="dxa" w:w="1728"/>
          </w:tcPr>
          <w:p>
            <w:r>
              <w:rPr>
                <w:rFonts w:ascii="Calibri" w:hAnsi="Calibri"/>
                <w:sz w:val="22"/>
              </w:rPr>
              <w:t>1Q FY2025 (Dec-24)</w:t>
            </w:r>
          </w:p>
        </w:tc>
        <w:tc>
          <w:tcPr>
            <w:tcW w:type="dxa" w:w="1728"/>
          </w:tcPr>
          <w:p>
            <w:r>
              <w:rPr>
                <w:rFonts w:ascii="Calibri" w:hAnsi="Calibri"/>
                <w:sz w:val="22"/>
              </w:rPr>
              <w:t>$0.59</w:t>
            </w:r>
          </w:p>
        </w:tc>
        <w:tc>
          <w:tcPr>
            <w:tcW w:type="dxa" w:w="1728"/>
          </w:tcPr>
          <w:p>
            <w:r>
              <w:rPr>
                <w:rFonts w:ascii="Calibri" w:hAnsi="Calibri"/>
                <w:sz w:val="22"/>
              </w:rPr>
              <w:t>$0.529</w:t>
            </w:r>
          </w:p>
        </w:tc>
        <w:tc>
          <w:tcPr>
            <w:tcW w:type="dxa" w:w="1728"/>
          </w:tcPr>
          <w:p>
            <w:r>
              <w:rPr>
                <w:rFonts w:ascii="Calibri" w:hAnsi="Calibri"/>
                <w:sz w:val="22"/>
              </w:rPr>
              <w:t>+11.5%</w:t>
            </w:r>
          </w:p>
        </w:tc>
        <w:tc>
          <w:tcPr>
            <w:tcW w:type="dxa" w:w="1728"/>
          </w:tcPr>
          <w:p>
            <w:r>
              <w:rPr>
                <w:rFonts w:ascii="Calibri" w:hAnsi="Calibri"/>
                <w:b/>
                <w:color w:val="30A46C"/>
                <w:sz w:val="22"/>
              </w:rPr>
              <w:t>Beat</w:t>
            </w:r>
          </w:p>
        </w:tc>
      </w:tr>
      <w:tr>
        <w:tc>
          <w:tcPr>
            <w:tcW w:type="dxa" w:w="1728"/>
          </w:tcPr>
          <w:p>
            <w:r>
              <w:rPr>
                <w:rFonts w:ascii="Calibri" w:hAnsi="Calibri"/>
                <w:sz w:val="22"/>
              </w:rPr>
              <w:t>2Q FY2025 (Mar-25)</w:t>
            </w:r>
          </w:p>
        </w:tc>
        <w:tc>
          <w:tcPr>
            <w:tcW w:type="dxa" w:w="1728"/>
          </w:tcPr>
          <w:p>
            <w:r>
              <w:rPr>
                <w:rFonts w:ascii="Calibri" w:hAnsi="Calibri"/>
                <w:sz w:val="22"/>
              </w:rPr>
              <w:t>$0.47</w:t>
            </w:r>
          </w:p>
        </w:tc>
        <w:tc>
          <w:tcPr>
            <w:tcW w:type="dxa" w:w="1728"/>
          </w:tcPr>
          <w:p>
            <w:r>
              <w:rPr>
                <w:rFonts w:ascii="Calibri" w:hAnsi="Calibri"/>
                <w:sz w:val="22"/>
              </w:rPr>
              <w:t>$0.470</w:t>
            </w:r>
          </w:p>
        </w:tc>
        <w:tc>
          <w:tcPr>
            <w:tcW w:type="dxa" w:w="1728"/>
          </w:tcPr>
          <w:p>
            <w:r>
              <w:rPr>
                <w:rFonts w:ascii="Calibri" w:hAnsi="Calibri"/>
                <w:sz w:val="22"/>
              </w:rPr>
              <w:t>0.0%</w:t>
            </w:r>
          </w:p>
        </w:tc>
        <w:tc>
          <w:tcPr>
            <w:tcW w:type="dxa" w:w="1728"/>
          </w:tcPr>
          <w:p>
            <w:r>
              <w:rPr>
                <w:rFonts w:ascii="Calibri" w:hAnsi="Calibri"/>
                <w:sz w:val="22"/>
              </w:rPr>
              <w:t>In Line</w:t>
            </w:r>
          </w:p>
        </w:tc>
      </w:tr>
      <w:tr>
        <w:tc>
          <w:tcPr>
            <w:tcW w:type="dxa" w:w="1728"/>
          </w:tcPr>
          <w:p>
            <w:r>
              <w:rPr>
                <w:rFonts w:ascii="Calibri" w:hAnsi="Calibri"/>
                <w:sz w:val="22"/>
              </w:rPr>
              <w:t>3Q FY2025 (Jun-25)</w:t>
            </w:r>
          </w:p>
        </w:tc>
        <w:tc>
          <w:tcPr>
            <w:tcW w:type="dxa" w:w="1728"/>
          </w:tcPr>
          <w:p>
            <w:r>
              <w:rPr>
                <w:rFonts w:ascii="Calibri" w:hAnsi="Calibri"/>
                <w:sz w:val="22"/>
              </w:rPr>
              <w:t>$0.49</w:t>
            </w:r>
          </w:p>
        </w:tc>
        <w:tc>
          <w:tcPr>
            <w:tcW w:type="dxa" w:w="1728"/>
          </w:tcPr>
          <w:p>
            <w:r>
              <w:rPr>
                <w:rFonts w:ascii="Calibri" w:hAnsi="Calibri"/>
                <w:sz w:val="22"/>
              </w:rPr>
              <w:t>$0.488</w:t>
            </w:r>
          </w:p>
        </w:tc>
        <w:tc>
          <w:tcPr>
            <w:tcW w:type="dxa" w:w="1728"/>
          </w:tcPr>
          <w:p>
            <w:r>
              <w:rPr>
                <w:rFonts w:ascii="Calibri" w:hAnsi="Calibri"/>
                <w:sz w:val="22"/>
              </w:rPr>
              <w:t>+0.4%</w:t>
            </w:r>
          </w:p>
        </w:tc>
        <w:tc>
          <w:tcPr>
            <w:tcW w:type="dxa" w:w="1728"/>
          </w:tcPr>
          <w:p>
            <w:r>
              <w:rPr>
                <w:rFonts w:ascii="Calibri" w:hAnsi="Calibri"/>
                <w:b/>
                <w:color w:val="30A46C"/>
                <w:sz w:val="22"/>
              </w:rPr>
              <w:t>Slight Beat</w:t>
            </w:r>
          </w:p>
        </w:tc>
      </w:tr>
      <w:tr>
        <w:tc>
          <w:tcPr>
            <w:tcW w:type="dxa" w:w="1728"/>
          </w:tcPr>
          <w:p>
            <w:r>
              <w:rPr>
                <w:rFonts w:ascii="Calibri" w:hAnsi="Calibri"/>
                <w:sz w:val="22"/>
              </w:rPr>
              <w:t>4Q FY2025 (Sep-25)</w:t>
            </w:r>
          </w:p>
        </w:tc>
        <w:tc>
          <w:tcPr>
            <w:tcW w:type="dxa" w:w="1728"/>
          </w:tcPr>
          <w:p>
            <w:r>
              <w:rPr>
                <w:rFonts w:ascii="Calibri" w:hAnsi="Calibri"/>
                <w:sz w:val="22"/>
              </w:rPr>
              <w:t>$0.67</w:t>
            </w:r>
          </w:p>
        </w:tc>
        <w:tc>
          <w:tcPr>
            <w:tcW w:type="dxa" w:w="1728"/>
          </w:tcPr>
          <w:p>
            <w:r>
              <w:rPr>
                <w:rFonts w:ascii="Calibri" w:hAnsi="Calibri"/>
                <w:sz w:val="22"/>
              </w:rPr>
              <w:t>$0.573</w:t>
            </w:r>
          </w:p>
        </w:tc>
        <w:tc>
          <w:tcPr>
            <w:tcW w:type="dxa" w:w="1728"/>
          </w:tcPr>
          <w:p>
            <w:r>
              <w:rPr>
                <w:rFonts w:ascii="Calibri" w:hAnsi="Calibri"/>
                <w:sz w:val="22"/>
              </w:rPr>
              <w:t>+17.0%</w:t>
            </w:r>
          </w:p>
        </w:tc>
        <w:tc>
          <w:tcPr>
            <w:tcW w:type="dxa" w:w="1728"/>
          </w:tcPr>
          <w:p>
            <w:r>
              <w:rPr>
                <w:rFonts w:ascii="Calibri" w:hAnsi="Calibri"/>
                <w:b/>
                <w:color w:val="30A46C"/>
                <w:sz w:val="22"/>
              </w:rPr>
              <w:t>Beat</w:t>
            </w:r>
          </w:p>
        </w:tc>
      </w:tr>
      <w:tr>
        <w:tc>
          <w:tcPr>
            <w:tcW w:type="dxa" w:w="1728"/>
          </w:tcPr>
          <w:p>
            <w:r>
              <w:rPr>
                <w:rFonts w:ascii="Calibri" w:hAnsi="Calibri"/>
                <w:sz w:val="22"/>
              </w:rPr>
              <w:t>1Q FY2026 (Dec-25)</w:t>
            </w:r>
          </w:p>
        </w:tc>
        <w:tc>
          <w:tcPr>
            <w:tcW w:type="dxa" w:w="1728"/>
          </w:tcPr>
          <w:p>
            <w:r>
              <w:rPr>
                <w:rFonts w:ascii="Calibri" w:hAnsi="Calibri"/>
                <w:sz w:val="22"/>
              </w:rPr>
              <w:t>$0.70</w:t>
            </w:r>
          </w:p>
        </w:tc>
        <w:tc>
          <w:tcPr>
            <w:tcW w:type="dxa" w:w="1728"/>
          </w:tcPr>
          <w:p>
            <w:r>
              <w:rPr>
                <w:rFonts w:ascii="Calibri" w:hAnsi="Calibri"/>
                <w:sz w:val="22"/>
              </w:rPr>
              <w:t>$0.544</w:t>
            </w:r>
          </w:p>
        </w:tc>
        <w:tc>
          <w:tcPr>
            <w:tcW w:type="dxa" w:w="1728"/>
          </w:tcPr>
          <w:p>
            <w:r>
              <w:rPr>
                <w:rFonts w:ascii="Calibri" w:hAnsi="Calibri"/>
                <w:sz w:val="22"/>
              </w:rPr>
              <w:t>+28.7%</w:t>
            </w:r>
          </w:p>
        </w:tc>
        <w:tc>
          <w:tcPr>
            <w:tcW w:type="dxa" w:w="1728"/>
          </w:tcPr>
          <w:p>
            <w:r>
              <w:rPr>
                <w:rFonts w:ascii="Calibri" w:hAnsi="Calibri"/>
                <w:b/>
                <w:color w:val="30A46C"/>
                <w:sz w:val="22"/>
              </w:rPr>
              <w:t>Beat</w:t>
            </w:r>
          </w:p>
        </w:tc>
      </w:tr>
      <w:tr>
        <w:tc>
          <w:tcPr>
            <w:tcW w:type="dxa" w:w="1728"/>
          </w:tcPr>
          <w:p>
            <w:r>
              <w:rPr>
                <w:rFonts w:ascii="Calibri" w:hAnsi="Calibri"/>
                <w:sz w:val="22"/>
              </w:rPr>
              <w:t>2Q FY2026 (Mar-26)</w:t>
            </w:r>
          </w:p>
        </w:tc>
        <w:tc>
          <w:tcPr>
            <w:tcW w:type="dxa" w:w="1728"/>
          </w:tcPr>
          <w:p>
            <w:r>
              <w:rPr>
                <w:rFonts w:ascii="Calibri" w:hAnsi="Calibri"/>
                <w:sz w:val="22"/>
              </w:rPr>
              <w:t>$0.71</w:t>
            </w:r>
          </w:p>
        </w:tc>
        <w:tc>
          <w:tcPr>
            <w:tcW w:type="dxa" w:w="1728"/>
          </w:tcPr>
          <w:p>
            <w:r>
              <w:rPr>
                <w:rFonts w:ascii="Calibri" w:hAnsi="Calibri"/>
                <w:sz w:val="22"/>
              </w:rPr>
              <w:t>$0.549</w:t>
            </w:r>
          </w:p>
        </w:tc>
        <w:tc>
          <w:tcPr>
            <w:tcW w:type="dxa" w:w="1728"/>
          </w:tcPr>
          <w:p>
            <w:r>
              <w:rPr>
                <w:rFonts w:ascii="Calibri" w:hAnsi="Calibri"/>
                <w:sz w:val="22"/>
              </w:rPr>
              <w:t>+29.3%</w:t>
            </w:r>
          </w:p>
        </w:tc>
        <w:tc>
          <w:tcPr>
            <w:tcW w:type="dxa" w:w="1728"/>
          </w:tcPr>
          <w:p>
            <w:r>
              <w:rPr>
                <w:rFonts w:ascii="Calibri" w:hAnsi="Calibri"/>
                <w:b/>
                <w:color w:val="30A46C"/>
                <w:sz w:val="22"/>
              </w:rPr>
              <w:t>Beat</w:t>
            </w:r>
          </w:p>
        </w:tc>
      </w:tr>
      <w:tr>
        <w:tc>
          <w:tcPr>
            <w:tcW w:type="dxa" w:w="1728"/>
          </w:tcPr>
          <w:p>
            <w:r>
              <w:rPr>
                <w:rFonts w:ascii="Calibri" w:hAnsi="Calibri"/>
                <w:sz w:val="22"/>
              </w:rPr>
              <w:t>3Q FY2026 (Jun-26) — UPCOMING</w:t>
            </w:r>
          </w:p>
        </w:tc>
        <w:tc>
          <w:tcPr>
            <w:tcW w:type="dxa" w:w="1728"/>
          </w:tcPr>
          <w:p>
            <w:r>
              <w:rPr>
                <w:rFonts w:ascii="Calibri" w:hAnsi="Calibri"/>
                <w:sz w:val="22"/>
              </w:rPr>
              <w:t>—</w:t>
            </w:r>
          </w:p>
        </w:tc>
        <w:tc>
          <w:tcPr>
            <w:tcW w:type="dxa" w:w="1728"/>
          </w:tcPr>
          <w:p>
            <w:r>
              <w:rPr>
                <w:rFonts w:ascii="Calibri" w:hAnsi="Calibri"/>
                <w:sz w:val="22"/>
              </w:rPr>
              <w:t>$0.66</w:t>
            </w:r>
          </w:p>
        </w:tc>
        <w:tc>
          <w:tcPr>
            <w:tcW w:type="dxa" w:w="1728"/>
          </w:tcPr>
          <w:p>
            <w:r>
              <w:rPr>
                <w:rFonts w:ascii="Calibri" w:hAnsi="Calibri"/>
                <w:sz w:val="22"/>
              </w:rPr>
              <w:t>—</w:t>
            </w:r>
          </w:p>
        </w:tc>
        <w:tc>
          <w:tcPr>
            <w:tcW w:type="dxa" w:w="1728"/>
          </w:tcPr>
          <w:p>
            <w:r>
              <w:rPr>
                <w:rFonts w:ascii="Calibri" w:hAnsi="Calibri"/>
                <w:b/>
                <w:color w:val="002FA7"/>
                <w:sz w:val="22"/>
              </w:rPr>
              <w:t>TBD</w:t>
            </w:r>
          </w:p>
        </w:tc>
      </w:tr>
    </w:tbl>
    <w:p>
      <w:pPr>
        <w:pStyle w:val="Heading3"/>
      </w:pPr>
      <w:r>
        <w:rPr>
          <w:rFonts w:ascii="Calibri" w:hAnsi="Calibri"/>
          <w:b/>
          <w:color w:val="3B4259"/>
          <w:sz w:val="24"/>
        </w:rPr>
        <w:t>KPI 2: Total Net Flows ($B)</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($B)</w:t>
            </w:r>
          </w:p>
        </w:tc>
        <w:tc>
          <w:tcPr>
            <w:tcW w:type="dxa" w:w="1728"/>
            <w:shd w:val="clear" w:color="auto" w:fill="3B4259"/>
          </w:tcPr>
          <w:p>
            <w:r>
              <w:rPr>
                <w:rFonts w:ascii="Calibri" w:hAnsi="Calibri"/>
                <w:b/>
                <w:color w:val="FFFFFF"/>
                <w:sz w:val="22"/>
              </w:rPr>
              <w:t>Consensus ($B)</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4Q FY2024 (Sep-24)</w:t>
            </w:r>
          </w:p>
        </w:tc>
        <w:tc>
          <w:tcPr>
            <w:tcW w:type="dxa" w:w="1728"/>
          </w:tcPr>
          <w:p>
            <w:r>
              <w:rPr>
                <w:rFonts w:ascii="Calibri" w:hAnsi="Calibri"/>
                <w:sz w:val="22"/>
              </w:rPr>
              <w:t>-$31.5B</w:t>
            </w:r>
          </w:p>
        </w:tc>
        <w:tc>
          <w:tcPr>
            <w:tcW w:type="dxa" w:w="1728"/>
          </w:tcPr>
          <w:p>
            <w:r>
              <w:rPr>
                <w:rFonts w:ascii="Calibri" w:hAnsi="Calibri"/>
                <w:sz w:val="22"/>
              </w:rPr>
              <w:t>-$29.9B</w:t>
            </w:r>
          </w:p>
        </w:tc>
        <w:tc>
          <w:tcPr>
            <w:tcW w:type="dxa" w:w="1728"/>
          </w:tcPr>
          <w:p>
            <w:r>
              <w:rPr>
                <w:rFonts w:ascii="Calibri" w:hAnsi="Calibri"/>
                <w:sz w:val="22"/>
              </w:rPr>
              <w:t>-5.3% (worse)</w:t>
            </w:r>
          </w:p>
        </w:tc>
        <w:tc>
          <w:tcPr>
            <w:tcW w:type="dxa" w:w="1728"/>
          </w:tcPr>
          <w:p>
            <w:r>
              <w:rPr>
                <w:rFonts w:ascii="Calibri" w:hAnsi="Calibri"/>
                <w:b/>
                <w:color w:val="E5484D"/>
                <w:sz w:val="22"/>
              </w:rPr>
              <w:t>Miss</w:t>
            </w:r>
          </w:p>
        </w:tc>
      </w:tr>
      <w:tr>
        <w:tc>
          <w:tcPr>
            <w:tcW w:type="dxa" w:w="1728"/>
          </w:tcPr>
          <w:p>
            <w:r>
              <w:rPr>
                <w:rFonts w:ascii="Calibri" w:hAnsi="Calibri"/>
                <w:sz w:val="22"/>
              </w:rPr>
              <w:t>1Q FY2025 (Dec-24)</w:t>
            </w:r>
          </w:p>
        </w:tc>
        <w:tc>
          <w:tcPr>
            <w:tcW w:type="dxa" w:w="1728"/>
          </w:tcPr>
          <w:p>
            <w:r>
              <w:rPr>
                <w:rFonts w:ascii="Calibri" w:hAnsi="Calibri"/>
                <w:sz w:val="22"/>
              </w:rPr>
              <w:t>-$50.0B</w:t>
            </w:r>
          </w:p>
        </w:tc>
        <w:tc>
          <w:tcPr>
            <w:tcW w:type="dxa" w:w="1728"/>
          </w:tcPr>
          <w:p>
            <w:r>
              <w:rPr>
                <w:rFonts w:ascii="Calibri" w:hAnsi="Calibri"/>
                <w:sz w:val="22"/>
              </w:rPr>
              <w:t>-$50.2B</w:t>
            </w:r>
          </w:p>
        </w:tc>
        <w:tc>
          <w:tcPr>
            <w:tcW w:type="dxa" w:w="1728"/>
          </w:tcPr>
          <w:p>
            <w:r>
              <w:rPr>
                <w:rFonts w:ascii="Calibri" w:hAnsi="Calibri"/>
                <w:sz w:val="22"/>
              </w:rPr>
              <w:t>+0.4% (better)</w:t>
            </w:r>
          </w:p>
        </w:tc>
        <w:tc>
          <w:tcPr>
            <w:tcW w:type="dxa" w:w="1728"/>
          </w:tcPr>
          <w:p>
            <w:r>
              <w:rPr>
                <w:rFonts w:ascii="Calibri" w:hAnsi="Calibri"/>
                <w:sz w:val="22"/>
              </w:rPr>
              <w:t>In Line</w:t>
            </w:r>
          </w:p>
        </w:tc>
      </w:tr>
      <w:tr>
        <w:tc>
          <w:tcPr>
            <w:tcW w:type="dxa" w:w="1728"/>
          </w:tcPr>
          <w:p>
            <w:r>
              <w:rPr>
                <w:rFonts w:ascii="Calibri" w:hAnsi="Calibri"/>
                <w:sz w:val="22"/>
              </w:rPr>
              <w:t>2Q FY2025 (Mar-25)</w:t>
            </w:r>
          </w:p>
        </w:tc>
        <w:tc>
          <w:tcPr>
            <w:tcW w:type="dxa" w:w="1728"/>
          </w:tcPr>
          <w:p>
            <w:r>
              <w:rPr>
                <w:rFonts w:ascii="Calibri" w:hAnsi="Calibri"/>
                <w:sz w:val="22"/>
              </w:rPr>
              <w:t>-$23.5B</w:t>
            </w:r>
          </w:p>
        </w:tc>
        <w:tc>
          <w:tcPr>
            <w:tcW w:type="dxa" w:w="1728"/>
          </w:tcPr>
          <w:p>
            <w:r>
              <w:rPr>
                <w:rFonts w:ascii="Calibri" w:hAnsi="Calibri"/>
                <w:sz w:val="22"/>
              </w:rPr>
              <w:t>-$30.3B</w:t>
            </w:r>
          </w:p>
        </w:tc>
        <w:tc>
          <w:tcPr>
            <w:tcW w:type="dxa" w:w="1728"/>
          </w:tcPr>
          <w:p>
            <w:r>
              <w:rPr>
                <w:rFonts w:ascii="Calibri" w:hAnsi="Calibri"/>
                <w:sz w:val="22"/>
              </w:rPr>
              <w:t>+22.4% (better)</w:t>
            </w:r>
          </w:p>
        </w:tc>
        <w:tc>
          <w:tcPr>
            <w:tcW w:type="dxa" w:w="1728"/>
          </w:tcPr>
          <w:p>
            <w:r>
              <w:rPr>
                <w:rFonts w:ascii="Calibri" w:hAnsi="Calibri"/>
                <w:b/>
                <w:color w:val="30A46C"/>
                <w:sz w:val="22"/>
              </w:rPr>
              <w:t>Beat</w:t>
            </w:r>
          </w:p>
        </w:tc>
      </w:tr>
      <w:tr>
        <w:tc>
          <w:tcPr>
            <w:tcW w:type="dxa" w:w="1728"/>
          </w:tcPr>
          <w:p>
            <w:r>
              <w:rPr>
                <w:rFonts w:ascii="Calibri" w:hAnsi="Calibri"/>
                <w:sz w:val="22"/>
              </w:rPr>
              <w:t>3Q FY2025 (Jun-25)</w:t>
            </w:r>
          </w:p>
        </w:tc>
        <w:tc>
          <w:tcPr>
            <w:tcW w:type="dxa" w:w="1728"/>
          </w:tcPr>
          <w:p>
            <w:r>
              <w:rPr>
                <w:rFonts w:ascii="Calibri" w:hAnsi="Calibri"/>
                <w:sz w:val="22"/>
              </w:rPr>
              <w:t>-$6.6B</w:t>
            </w:r>
          </w:p>
        </w:tc>
        <w:tc>
          <w:tcPr>
            <w:tcW w:type="dxa" w:w="1728"/>
          </w:tcPr>
          <w:p>
            <w:r>
              <w:rPr>
                <w:rFonts w:ascii="Calibri" w:hAnsi="Calibri"/>
                <w:sz w:val="22"/>
              </w:rPr>
              <w:t>-$7.6B</w:t>
            </w:r>
          </w:p>
        </w:tc>
        <w:tc>
          <w:tcPr>
            <w:tcW w:type="dxa" w:w="1728"/>
          </w:tcPr>
          <w:p>
            <w:r>
              <w:rPr>
                <w:rFonts w:ascii="Calibri" w:hAnsi="Calibri"/>
                <w:sz w:val="22"/>
              </w:rPr>
              <w:t>+13.2% (better)</w:t>
            </w:r>
          </w:p>
        </w:tc>
        <w:tc>
          <w:tcPr>
            <w:tcW w:type="dxa" w:w="1728"/>
          </w:tcPr>
          <w:p>
            <w:r>
              <w:rPr>
                <w:rFonts w:ascii="Calibri" w:hAnsi="Calibri"/>
                <w:b/>
                <w:color w:val="30A46C"/>
                <w:sz w:val="22"/>
              </w:rPr>
              <w:t>Beat</w:t>
            </w:r>
          </w:p>
        </w:tc>
      </w:tr>
      <w:tr>
        <w:tc>
          <w:tcPr>
            <w:tcW w:type="dxa" w:w="1728"/>
          </w:tcPr>
          <w:p>
            <w:r>
              <w:rPr>
                <w:rFonts w:ascii="Calibri" w:hAnsi="Calibri"/>
                <w:sz w:val="22"/>
              </w:rPr>
              <w:t>4Q FY2025 (Sep-25)</w:t>
            </w:r>
          </w:p>
        </w:tc>
        <w:tc>
          <w:tcPr>
            <w:tcW w:type="dxa" w:w="1728"/>
          </w:tcPr>
          <w:p>
            <w:r>
              <w:rPr>
                <w:rFonts w:ascii="Calibri" w:hAnsi="Calibri"/>
                <w:sz w:val="22"/>
              </w:rPr>
              <w:t>-$4.7B</w:t>
            </w:r>
          </w:p>
        </w:tc>
        <w:tc>
          <w:tcPr>
            <w:tcW w:type="dxa" w:w="1728"/>
          </w:tcPr>
          <w:p>
            <w:r>
              <w:rPr>
                <w:rFonts w:ascii="Calibri" w:hAnsi="Calibri"/>
                <w:sz w:val="22"/>
              </w:rPr>
              <w:t>-$7.4B</w:t>
            </w:r>
          </w:p>
        </w:tc>
        <w:tc>
          <w:tcPr>
            <w:tcW w:type="dxa" w:w="1728"/>
          </w:tcPr>
          <w:p>
            <w:r>
              <w:rPr>
                <w:rFonts w:ascii="Calibri" w:hAnsi="Calibri"/>
                <w:sz w:val="22"/>
              </w:rPr>
              <w:t>+36.5% (better)</w:t>
            </w:r>
          </w:p>
        </w:tc>
        <w:tc>
          <w:tcPr>
            <w:tcW w:type="dxa" w:w="1728"/>
          </w:tcPr>
          <w:p>
            <w:r>
              <w:rPr>
                <w:rFonts w:ascii="Calibri" w:hAnsi="Calibri"/>
                <w:b/>
                <w:color w:val="30A46C"/>
                <w:sz w:val="22"/>
              </w:rPr>
              <w:t>Beat</w:t>
            </w:r>
          </w:p>
        </w:tc>
      </w:tr>
      <w:tr>
        <w:tc>
          <w:tcPr>
            <w:tcW w:type="dxa" w:w="1728"/>
          </w:tcPr>
          <w:p>
            <w:r>
              <w:rPr>
                <w:rFonts w:ascii="Calibri" w:hAnsi="Calibri"/>
                <w:sz w:val="22"/>
              </w:rPr>
              <w:t>1Q FY2026 (Dec-25)</w:t>
            </w:r>
          </w:p>
        </w:tc>
        <w:tc>
          <w:tcPr>
            <w:tcW w:type="dxa" w:w="1728"/>
          </w:tcPr>
          <w:p>
            <w:r>
              <w:rPr>
                <w:rFonts w:ascii="Calibri" w:hAnsi="Calibri"/>
                <w:sz w:val="22"/>
              </w:rPr>
              <w:t>+$26.8B</w:t>
            </w:r>
          </w:p>
        </w:tc>
        <w:tc>
          <w:tcPr>
            <w:tcW w:type="dxa" w:w="1728"/>
          </w:tcPr>
          <w:p>
            <w:r>
              <w:rPr>
                <w:rFonts w:ascii="Calibri" w:hAnsi="Calibri"/>
                <w:sz w:val="22"/>
              </w:rPr>
              <w:t>+$16.3B</w:t>
            </w:r>
          </w:p>
        </w:tc>
        <w:tc>
          <w:tcPr>
            <w:tcW w:type="dxa" w:w="1728"/>
          </w:tcPr>
          <w:p>
            <w:r>
              <w:rPr>
                <w:rFonts w:ascii="Calibri" w:hAnsi="Calibri"/>
                <w:sz w:val="22"/>
              </w:rPr>
              <w:t>+64.9% (better)</w:t>
            </w:r>
          </w:p>
        </w:tc>
        <w:tc>
          <w:tcPr>
            <w:tcW w:type="dxa" w:w="1728"/>
          </w:tcPr>
          <w:p>
            <w:r>
              <w:rPr>
                <w:rFonts w:ascii="Calibri" w:hAnsi="Calibri"/>
                <w:b/>
                <w:color w:val="30A46C"/>
                <w:sz w:val="22"/>
              </w:rPr>
              <w:t>Beat</w:t>
            </w:r>
          </w:p>
        </w:tc>
      </w:tr>
      <w:tr>
        <w:tc>
          <w:tcPr>
            <w:tcW w:type="dxa" w:w="1728"/>
          </w:tcPr>
          <w:p>
            <w:r>
              <w:rPr>
                <w:rFonts w:ascii="Calibri" w:hAnsi="Calibri"/>
                <w:sz w:val="22"/>
              </w:rPr>
              <w:t>2Q FY2026 (Mar-26)</w:t>
            </w:r>
          </w:p>
        </w:tc>
        <w:tc>
          <w:tcPr>
            <w:tcW w:type="dxa" w:w="1728"/>
          </w:tcPr>
          <w:p>
            <w:r>
              <w:rPr>
                <w:rFonts w:ascii="Calibri" w:hAnsi="Calibri"/>
                <w:sz w:val="22"/>
              </w:rPr>
              <w:t>+$28.3B</w:t>
            </w:r>
          </w:p>
        </w:tc>
        <w:tc>
          <w:tcPr>
            <w:tcW w:type="dxa" w:w="1728"/>
          </w:tcPr>
          <w:p>
            <w:r>
              <w:rPr>
                <w:rFonts w:ascii="Calibri" w:hAnsi="Calibri"/>
                <w:sz w:val="22"/>
              </w:rPr>
              <w:t>+$26.3B</w:t>
            </w:r>
          </w:p>
        </w:tc>
        <w:tc>
          <w:tcPr>
            <w:tcW w:type="dxa" w:w="1728"/>
          </w:tcPr>
          <w:p>
            <w:r>
              <w:rPr>
                <w:rFonts w:ascii="Calibri" w:hAnsi="Calibri"/>
                <w:sz w:val="22"/>
              </w:rPr>
              <w:t>+7.6% (better)</w:t>
            </w:r>
          </w:p>
        </w:tc>
        <w:tc>
          <w:tcPr>
            <w:tcW w:type="dxa" w:w="1728"/>
          </w:tcPr>
          <w:p>
            <w:r>
              <w:rPr>
                <w:rFonts w:ascii="Calibri" w:hAnsi="Calibri"/>
                <w:b/>
                <w:color w:val="30A46C"/>
                <w:sz w:val="22"/>
              </w:rPr>
              <w:t>Beat</w:t>
            </w:r>
          </w:p>
        </w:tc>
      </w:tr>
      <w:tr>
        <w:tc>
          <w:tcPr>
            <w:tcW w:type="dxa" w:w="1728"/>
          </w:tcPr>
          <w:p>
            <w:r>
              <w:rPr>
                <w:rFonts w:ascii="Calibri" w:hAnsi="Calibri"/>
                <w:sz w:val="22"/>
              </w:rPr>
              <w:t>3Q FY2026 (Jun-26) — UPCOMING</w:t>
            </w:r>
          </w:p>
        </w:tc>
        <w:tc>
          <w:tcPr>
            <w:tcW w:type="dxa" w:w="1728"/>
          </w:tcPr>
          <w:p>
            <w:r>
              <w:rPr>
                <w:rFonts w:ascii="Calibri" w:hAnsi="Calibri"/>
                <w:sz w:val="22"/>
              </w:rPr>
              <w:t>—</w:t>
            </w:r>
          </w:p>
        </w:tc>
        <w:tc>
          <w:tcPr>
            <w:tcW w:type="dxa" w:w="1728"/>
          </w:tcPr>
          <w:p>
            <w:r>
              <w:rPr>
                <w:rFonts w:ascii="Calibri" w:hAnsi="Calibri"/>
                <w:sz w:val="22"/>
              </w:rPr>
              <w:t>+$11.5B</w:t>
            </w:r>
          </w:p>
        </w:tc>
        <w:tc>
          <w:tcPr>
            <w:tcW w:type="dxa" w:w="1728"/>
          </w:tcPr>
          <w:p>
            <w:r>
              <w:rPr>
                <w:rFonts w:ascii="Calibri" w:hAnsi="Calibri"/>
                <w:sz w:val="22"/>
              </w:rPr>
              <w:t>—</w:t>
            </w:r>
          </w:p>
        </w:tc>
        <w:tc>
          <w:tcPr>
            <w:tcW w:type="dxa" w:w="1728"/>
          </w:tcPr>
          <w:p>
            <w:r>
              <w:rPr>
                <w:rFonts w:ascii="Calibri" w:hAnsi="Calibri"/>
                <w:b/>
                <w:color w:val="002FA7"/>
                <w:sz w:val="22"/>
              </w:rPr>
              <w:t>TBD</w:t>
            </w:r>
          </w:p>
        </w:tc>
      </w:tr>
    </w:tbl>
    <w:p>
      <w:r>
        <w:rPr>
          <w:rFonts w:ascii="Calibri" w:hAnsi="Calibri"/>
          <w:b/>
          <w:color w:val="525866"/>
          <w:sz w:val="22"/>
        </w:rPr>
        <w:t xml:space="preserve">Pattern: </w:t>
      </w:r>
      <w:r>
        <w:rPr>
          <w:rFonts w:ascii="Calibri" w:hAnsi="Calibri"/>
          <w:color w:val="525866"/>
          <w:sz w:val="22"/>
        </w:rPr>
        <w:t>BEN has beaten or matched net flow consensus in 6 of the last 7 reported quarters, with the magnitude of beats accelerating sharply in FY2026 as the organic growth inflection took hold. On EPS, the last three quarters have seen outsized beats of 17–29%, driven by revenue upside and cost discipline — setting a high bar for the Street to keep up with revisions.</w:t>
      </w:r>
    </w:p>
    <w:p>
      <w:r>
        <w:rPr>
          <w:rFonts w:ascii="Calibri" w:hAnsi="Calibri"/>
          <w:i/>
          <w:color w:val="525866"/>
          <w:sz w:val="22"/>
        </w:rPr>
        <w:t>Source: Visible Alpha Consensus and Actuals Data</w:t>
      </w:r>
    </w:p>
    <w:p>
      <w:r>
        <w:br w:type="page"/>
      </w:r>
    </w:p>
    <w:p>
      <w:pPr>
        <w:pStyle w:val="Heading1"/>
        <w:pBdr>
          <w:bottom w:val="single" w:sz="4" w:space="1" w:color="FB9120"/>
        </w:pBdr>
      </w:pPr>
      <w:r>
        <w:rPr>
          <w:rFonts w:ascii="Calibri" w:hAnsi="Calibri"/>
          <w:b/>
          <w:color w:val="3B4259"/>
          <w:sz w:val="40"/>
        </w:rPr>
        <w:t>3. Guidance &amp; Commentary Evolution</w:t>
      </w:r>
    </w:p>
    <w:p>
      <w:r>
        <w:rPr>
          <w:rFonts w:ascii="Calibri" w:hAnsi="Calibri"/>
          <w:b/>
          <w:color w:val="525866"/>
          <w:sz w:val="22"/>
        </w:rPr>
        <w:t xml:space="preserve">Key Takeaway: </w:t>
      </w:r>
      <w:r>
        <w:rPr>
          <w:rFonts w:ascii="Calibri" w:hAnsi="Calibri"/>
          <w:color w:val="525866"/>
          <w:sz w:val="22"/>
        </w:rPr>
        <w:t>Guidance is unchanged since the April 28 Q2 earnings call — no post-earnings 8-K, conference, or investor day has revised any metric. Management’s tone was explicitly confident, describing margin trajectory as “ahead of plan” and private markets fundraising as tracking to exceed the already-raised $30B+ annual target.</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(Q2 FY26 Earnings Call, Apr 28, 2026)</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Effective Fee Rate (3Q26)</w:t>
            </w:r>
          </w:p>
        </w:tc>
        <w:tc>
          <w:tcPr>
            <w:tcW w:type="dxa" w:w="1728"/>
          </w:tcPr>
          <w:p>
            <w:r>
              <w:rPr>
                <w:rFonts w:ascii="Calibri" w:hAnsi="Calibri"/>
                <w:sz w:val="22"/>
              </w:rPr>
              <w:t>Mid-to-high 37s bps — “very consistent, stable with Q2”</w:t>
            </w:r>
          </w:p>
        </w:tc>
        <w:tc>
          <w:tcPr>
            <w:tcW w:type="dxa" w:w="1728"/>
          </w:tcPr>
          <w:p>
            <w:r>
              <w:rPr>
                <w:rFonts w:ascii="Calibri" w:hAnsi="Calibri"/>
                <w:sz w:val="22"/>
              </w:rPr>
              <w:t>—</w:t>
            </w:r>
          </w:p>
        </w:tc>
        <w:tc>
          <w:tcPr>
            <w:tcW w:type="dxa" w:w="1728"/>
          </w:tcPr>
          <w:p>
            <w:r>
              <w:rPr>
                <w:rFonts w:ascii="Calibri" w:hAnsi="Calibri"/>
                <w:sz w:val="22"/>
              </w:rPr>
              <w:t>~37 bps (implied by revenue consensus)</w:t>
            </w:r>
          </w:p>
        </w:tc>
        <w:tc>
          <w:tcPr>
            <w:tcW w:type="dxa" w:w="1728"/>
          </w:tcPr>
          <w:p>
            <w:r>
              <w:rPr>
                <w:rFonts w:ascii="Calibri" w:hAnsi="Calibri"/>
                <w:sz w:val="22"/>
              </w:rPr>
              <w:t>Unchanged; no post-earnings update</w:t>
            </w:r>
          </w:p>
        </w:tc>
      </w:tr>
      <w:tr>
        <w:tc>
          <w:tcPr>
            <w:tcW w:type="dxa" w:w="1728"/>
          </w:tcPr>
          <w:p>
            <w:r>
              <w:rPr>
                <w:rFonts w:ascii="Calibri" w:hAnsi="Calibri"/>
                <w:sz w:val="22"/>
              </w:rPr>
              <w:t>Compensation (3Q26)</w:t>
            </w:r>
          </w:p>
        </w:tc>
        <w:tc>
          <w:tcPr>
            <w:tcW w:type="dxa" w:w="1728"/>
          </w:tcPr>
          <w:p>
            <w:r>
              <w:rPr>
                <w:rFonts w:ascii="Calibri" w:hAnsi="Calibri"/>
                <w:sz w:val="22"/>
              </w:rPr>
              <w:t>$830M (assumes $50M perf. fee at 55% payout)</w:t>
            </w:r>
          </w:p>
        </w:tc>
        <w:tc>
          <w:tcPr>
            <w:tcW w:type="dxa" w:w="1728"/>
          </w:tcPr>
          <w:p>
            <w:r>
              <w:rPr>
                <w:rFonts w:ascii="Calibri" w:hAnsi="Calibri"/>
                <w:sz w:val="22"/>
              </w:rPr>
              <w:t>—</w:t>
            </w:r>
          </w:p>
        </w:tc>
        <w:tc>
          <w:tcPr>
            <w:tcW w:type="dxa" w:w="1728"/>
          </w:tcPr>
          <w:p>
            <w:r>
              <w:rPr>
                <w:rFonts w:ascii="Calibri" w:hAnsi="Calibri"/>
                <w:sz w:val="22"/>
              </w:rPr>
              <w:t>N/A — not separately tracked in VA</w:t>
            </w:r>
          </w:p>
        </w:tc>
        <w:tc>
          <w:tcPr>
            <w:tcW w:type="dxa" w:w="1728"/>
          </w:tcPr>
          <w:p>
            <w:r>
              <w:rPr>
                <w:rFonts w:ascii="Calibri" w:hAnsi="Calibri"/>
                <w:sz w:val="22"/>
              </w:rPr>
              <w:t>Unchanged; elevated fundraising-related G&amp;A of $23–25M flagged</w:t>
            </w:r>
          </w:p>
        </w:tc>
      </w:tr>
      <w:tr>
        <w:tc>
          <w:tcPr>
            <w:tcW w:type="dxa" w:w="1728"/>
          </w:tcPr>
          <w:p>
            <w:r>
              <w:rPr>
                <w:rFonts w:ascii="Calibri" w:hAnsi="Calibri"/>
                <w:sz w:val="22"/>
              </w:rPr>
              <w:t>IS&amp;T (3Q26)</w:t>
            </w:r>
          </w:p>
        </w:tc>
        <w:tc>
          <w:tcPr>
            <w:tcW w:type="dxa" w:w="1728"/>
          </w:tcPr>
          <w:p>
            <w:r>
              <w:rPr>
                <w:rFonts w:ascii="Calibri" w:hAnsi="Calibri"/>
                <w:sz w:val="22"/>
              </w:rPr>
              <w:t>$155M (“a little bit higher than last quarter” due to AI investments)</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Unchanged; AI investment spend explicitly called out</w:t>
            </w:r>
          </w:p>
        </w:tc>
      </w:tr>
      <w:tr>
        <w:tc>
          <w:tcPr>
            <w:tcW w:type="dxa" w:w="1728"/>
          </w:tcPr>
          <w:p>
            <w:r>
              <w:rPr>
                <w:rFonts w:ascii="Calibri" w:hAnsi="Calibri"/>
                <w:sz w:val="22"/>
              </w:rPr>
              <w:t>G&amp;A (3Q26)</w:t>
            </w:r>
          </w:p>
        </w:tc>
        <w:tc>
          <w:tcPr>
            <w:tcW w:type="dxa" w:w="1728"/>
          </w:tcPr>
          <w:p>
            <w:r>
              <w:rPr>
                <w:rFonts w:ascii="Calibri" w:hAnsi="Calibri"/>
                <w:sz w:val="22"/>
              </w:rPr>
              <w:t>$210–$215M (incl. ~$23–25M fundraising fees + $9–10M advertising)</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Unchanged; management noted fundraising G&amp;A is recurring, not one-time</w:t>
            </w:r>
          </w:p>
        </w:tc>
      </w:tr>
      <w:tr>
        <w:tc>
          <w:tcPr>
            <w:tcW w:type="dxa" w:w="1728"/>
          </w:tcPr>
          <w:p>
            <w:r>
              <w:rPr>
                <w:rFonts w:ascii="Calibri" w:hAnsi="Calibri"/>
                <w:sz w:val="22"/>
              </w:rPr>
              <w:t>Occupancy (3Q26)</w:t>
            </w:r>
          </w:p>
        </w:tc>
        <w:tc>
          <w:tcPr>
            <w:tcW w:type="dxa" w:w="1728"/>
          </w:tcPr>
          <w:p>
            <w:r>
              <w:rPr>
                <w:rFonts w:ascii="Calibri" w:hAnsi="Calibri"/>
                <w:sz w:val="22"/>
              </w:rPr>
              <w:t>$70M</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Unchanged</w:t>
            </w:r>
          </w:p>
        </w:tc>
      </w:tr>
      <w:tr>
        <w:tc>
          <w:tcPr>
            <w:tcW w:type="dxa" w:w="1728"/>
          </w:tcPr>
          <w:p>
            <w:r>
              <w:rPr>
                <w:rFonts w:ascii="Calibri" w:hAnsi="Calibri"/>
                <w:sz w:val="22"/>
              </w:rPr>
              <w:t>FY26 Total Expenses</w:t>
            </w:r>
          </w:p>
        </w:tc>
        <w:tc>
          <w:tcPr>
            <w:tcW w:type="dxa" w:w="1728"/>
          </w:tcPr>
          <w:p>
            <w:r>
              <w:rPr>
                <w:rFonts w:ascii="Calibri" w:hAnsi="Calibri"/>
                <w:sz w:val="22"/>
              </w:rPr>
              <w:t>~In line or slightly above FY25 ex-perf. fees; ~+1.5% vs. FY25</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Unchanged; voluntary buyout program included in full-year projection</w:t>
            </w:r>
          </w:p>
        </w:tc>
      </w:tr>
      <w:tr>
        <w:tc>
          <w:tcPr>
            <w:tcW w:type="dxa" w:w="1728"/>
          </w:tcPr>
          <w:p>
            <w:r>
              <w:rPr>
                <w:rFonts w:ascii="Calibri" w:hAnsi="Calibri"/>
                <w:sz w:val="22"/>
              </w:rPr>
              <w:t>FY26 Inv. Mgmt. Fee Revenue</w:t>
            </w:r>
          </w:p>
        </w:tc>
        <w:tc>
          <w:tcPr>
            <w:tcW w:type="dxa" w:w="1728"/>
          </w:tcPr>
          <w:p>
            <w:r>
              <w:rPr>
                <w:rFonts w:ascii="Calibri" w:hAnsi="Calibri"/>
                <w:sz w:val="22"/>
              </w:rPr>
              <w:t>Expected to grow at ≥4x expense growth rate (≥6% YoY)</w:t>
            </w:r>
          </w:p>
        </w:tc>
        <w:tc>
          <w:tcPr>
            <w:tcW w:type="dxa" w:w="1728"/>
          </w:tcPr>
          <w:p>
            <w:r>
              <w:rPr>
                <w:rFonts w:ascii="Calibri" w:hAnsi="Calibri"/>
                <w:sz w:val="22"/>
              </w:rPr>
              <w:t>—</w:t>
            </w:r>
          </w:p>
        </w:tc>
        <w:tc>
          <w:tcPr>
            <w:tcW w:type="dxa" w:w="1728"/>
          </w:tcPr>
          <w:p>
            <w:r>
              <w:rPr>
                <w:rFonts w:ascii="Calibri" w:hAnsi="Calibri"/>
                <w:sz w:val="22"/>
              </w:rPr>
              <w:t>$7.152B (FY26 consensus)</w:t>
            </w:r>
          </w:p>
        </w:tc>
        <w:tc>
          <w:tcPr>
            <w:tcW w:type="dxa" w:w="1728"/>
          </w:tcPr>
          <w:p>
            <w:r>
              <w:rPr>
                <w:rFonts w:ascii="Calibri" w:hAnsi="Calibri"/>
                <w:sz w:val="22"/>
              </w:rPr>
              <w:t>Unchanged; consensus broadly consistent with guidance</w:t>
            </w:r>
          </w:p>
        </w:tc>
      </w:tr>
      <w:tr>
        <w:tc>
          <w:tcPr>
            <w:tcW w:type="dxa" w:w="1728"/>
          </w:tcPr>
          <w:p>
            <w:r>
              <w:rPr>
                <w:rFonts w:ascii="Calibri" w:hAnsi="Calibri"/>
                <w:sz w:val="22"/>
              </w:rPr>
              <w:t>Q4 FY26 Operating Margin</w:t>
            </w:r>
          </w:p>
        </w:tc>
        <w:tc>
          <w:tcPr>
            <w:tcW w:type="dxa" w:w="1728"/>
          </w:tcPr>
          <w:p>
            <w:r>
              <w:rPr>
                <w:rFonts w:ascii="Calibri" w:hAnsi="Calibri"/>
                <w:sz w:val="22"/>
              </w:rPr>
              <w:t>High 29s</w:t>
            </w:r>
          </w:p>
        </w:tc>
        <w:tc>
          <w:tcPr>
            <w:tcW w:type="dxa" w:w="1728"/>
          </w:tcPr>
          <w:p>
            <w:r>
              <w:rPr>
                <w:rFonts w:ascii="Calibri" w:hAnsi="Calibri"/>
                <w:sz w:val="22"/>
              </w:rPr>
              <w:t>—</w:t>
            </w:r>
          </w:p>
        </w:tc>
        <w:tc>
          <w:tcPr>
            <w:tcW w:type="dxa" w:w="1728"/>
          </w:tcPr>
          <w:p>
            <w:r>
              <w:rPr>
                <w:rFonts w:ascii="Calibri" w:hAnsi="Calibri"/>
                <w:sz w:val="22"/>
              </w:rPr>
              <w:t>Implied ~29% from consensus</w:t>
            </w:r>
          </w:p>
        </w:tc>
        <w:tc>
          <w:tcPr>
            <w:tcW w:type="dxa" w:w="1728"/>
          </w:tcPr>
          <w:p>
            <w:r>
              <w:rPr>
                <w:rFonts w:ascii="Calibri" w:hAnsi="Calibri"/>
                <w:sz w:val="22"/>
              </w:rPr>
              <w:t>Unchanged; described as “ahead of plan”</w:t>
            </w:r>
          </w:p>
        </w:tc>
      </w:tr>
      <w:tr>
        <w:tc>
          <w:tcPr>
            <w:tcW w:type="dxa" w:w="1728"/>
          </w:tcPr>
          <w:p>
            <w:r>
              <w:rPr>
                <w:rFonts w:ascii="Calibri" w:hAnsi="Calibri"/>
                <w:sz w:val="22"/>
              </w:rPr>
              <w:t>FY26 Full-Year Operating Margin</w:t>
            </w:r>
          </w:p>
        </w:tc>
        <w:tc>
          <w:tcPr>
            <w:tcW w:type="dxa" w:w="1728"/>
          </w:tcPr>
          <w:p>
            <w:r>
              <w:rPr>
                <w:rFonts w:ascii="Calibri" w:hAnsi="Calibri"/>
                <w:sz w:val="22"/>
              </w:rPr>
              <w:t>High 27s</w:t>
            </w:r>
          </w:p>
        </w:tc>
        <w:tc>
          <w:tcPr>
            <w:tcW w:type="dxa" w:w="1728"/>
          </w:tcPr>
          <w:p>
            <w:r>
              <w:rPr>
                <w:rFonts w:ascii="Calibri" w:hAnsi="Calibri"/>
                <w:sz w:val="22"/>
              </w:rPr>
              <w:t>—</w:t>
            </w:r>
          </w:p>
        </w:tc>
        <w:tc>
          <w:tcPr>
            <w:tcW w:type="dxa" w:w="1728"/>
          </w:tcPr>
          <w:p>
            <w:r>
              <w:rPr>
                <w:rFonts w:ascii="Calibri" w:hAnsi="Calibri"/>
                <w:sz w:val="22"/>
              </w:rPr>
              <w:t>~27.4% (implied from consensus)</w:t>
            </w:r>
          </w:p>
        </w:tc>
        <w:tc>
          <w:tcPr>
            <w:tcW w:type="dxa" w:w="1728"/>
          </w:tcPr>
          <w:p>
            <w:r>
              <w:rPr>
                <w:rFonts w:ascii="Calibri" w:hAnsi="Calibri"/>
                <w:sz w:val="22"/>
              </w:rPr>
              <w:t>Unchanged; on track per management</w:t>
            </w:r>
          </w:p>
        </w:tc>
      </w:tr>
      <w:tr>
        <w:tc>
          <w:tcPr>
            <w:tcW w:type="dxa" w:w="1728"/>
          </w:tcPr>
          <w:p>
            <w:r>
              <w:rPr>
                <w:rFonts w:ascii="Calibri" w:hAnsi="Calibri"/>
                <w:sz w:val="22"/>
              </w:rPr>
              <w:t>FY27 Operating Margin Target</w:t>
            </w:r>
          </w:p>
        </w:tc>
        <w:tc>
          <w:tcPr>
            <w:tcW w:type="dxa" w:w="1728"/>
          </w:tcPr>
          <w:p>
            <w:r>
              <w:rPr>
                <w:rFonts w:ascii="Calibri" w:hAnsi="Calibri"/>
                <w:sz w:val="22"/>
              </w:rPr>
              <w:t>30%+</w:t>
            </w:r>
          </w:p>
        </w:tc>
        <w:tc>
          <w:tcPr>
            <w:tcW w:type="dxa" w:w="1728"/>
          </w:tcPr>
          <w:p>
            <w:r>
              <w:rPr>
                <w:rFonts w:ascii="Calibri" w:hAnsi="Calibri"/>
                <w:sz w:val="22"/>
              </w:rPr>
              <w:t>—</w:t>
            </w:r>
          </w:p>
        </w:tc>
        <w:tc>
          <w:tcPr>
            <w:tcW w:type="dxa" w:w="1728"/>
          </w:tcPr>
          <w:p>
            <w:r>
              <w:rPr>
                <w:rFonts w:ascii="Calibri" w:hAnsi="Calibri"/>
                <w:sz w:val="22"/>
              </w:rPr>
              <w:t>~29.8% (FY27 consensus)</w:t>
            </w:r>
          </w:p>
        </w:tc>
        <w:tc>
          <w:tcPr>
            <w:tcW w:type="dxa" w:w="1728"/>
          </w:tcPr>
          <w:p>
            <w:r>
              <w:rPr>
                <w:rFonts w:ascii="Calibri" w:hAnsi="Calibri"/>
                <w:sz w:val="22"/>
              </w:rPr>
              <w:t>Unchanged; management reiterated “ahead of plan”</w:t>
            </w:r>
          </w:p>
        </w:tc>
      </w:tr>
      <w:tr>
        <w:tc>
          <w:tcPr>
            <w:tcW w:type="dxa" w:w="1728"/>
          </w:tcPr>
          <w:p>
            <w:r>
              <w:rPr>
                <w:rFonts w:ascii="Calibri" w:hAnsi="Calibri"/>
                <w:sz w:val="22"/>
              </w:rPr>
              <w:t>Private Markets Fundraising (FY26)</w:t>
            </w:r>
          </w:p>
        </w:tc>
        <w:tc>
          <w:tcPr>
            <w:tcW w:type="dxa" w:w="1728"/>
          </w:tcPr>
          <w:p>
            <w:r>
              <w:rPr>
                <w:rFonts w:ascii="Calibri" w:hAnsi="Calibri"/>
                <w:sz w:val="22"/>
              </w:rPr>
              <w:t>Exceed $25–30B target; CEO expects “above $30B”</w:t>
            </w:r>
          </w:p>
        </w:tc>
        <w:tc>
          <w:tcPr>
            <w:tcW w:type="dxa" w:w="1728"/>
          </w:tcPr>
          <w:p>
            <w:r>
              <w:rPr>
                <w:rFonts w:ascii="Calibri" w:hAnsi="Calibri"/>
                <w:sz w:val="22"/>
              </w:rPr>
              <w:t>—</w:t>
            </w:r>
          </w:p>
        </w:tc>
        <w:tc>
          <w:tcPr>
            <w:tcW w:type="dxa" w:w="1728"/>
          </w:tcPr>
          <w:p>
            <w:r>
              <w:rPr>
                <w:rFonts w:ascii="Calibri" w:hAnsi="Calibri"/>
                <w:sz w:val="22"/>
              </w:rPr>
              <w:t>$76.7B total net flows FY26 consensus (incl. all asset classes)</w:t>
            </w:r>
          </w:p>
        </w:tc>
        <w:tc>
          <w:tcPr>
            <w:tcW w:type="dxa" w:w="1728"/>
          </w:tcPr>
          <w:p>
            <w:r>
              <w:rPr>
                <w:rFonts w:ascii="Calibri" w:hAnsi="Calibri"/>
                <w:sz w:val="22"/>
              </w:rPr>
              <w:t>Unchanged; $22.7B raised YTD through Q2 already matched full FY25</w:t>
            </w:r>
          </w:p>
        </w:tc>
      </w:tr>
    </w:tbl>
    <w:p>
      <w:r>
        <w:br w:type="page"/>
      </w:r>
    </w:p>
    <w:p>
      <w:pPr>
        <w:pStyle w:val="Heading1"/>
        <w:pBdr>
          <w:bottom w:val="single" w:sz="4" w:space="1" w:color="FB9120"/>
        </w:pBdr>
      </w:pPr>
      <w:r>
        <w:rPr>
          <w:rFonts w:ascii="Calibri" w:hAnsi="Calibri"/>
          <w:b/>
          <w:color w:val="3B4259"/>
          <w:sz w:val="40"/>
        </w:rPr>
        <w:t>4. Guidance vs. Estimate Revision Tracker</w:t>
      </w:r>
    </w:p>
    <w:p>
      <w:r>
        <w:rPr>
          <w:rFonts w:ascii="Calibri" w:hAnsi="Calibri"/>
          <w:b/>
          <w:color w:val="525866"/>
          <w:sz w:val="22"/>
        </w:rPr>
        <w:t xml:space="preserve">Key Takeaway: </w:t>
      </w:r>
      <w:r>
        <w:rPr>
          <w:rFonts w:ascii="Calibri" w:hAnsi="Calibri"/>
          <w:color w:val="525866"/>
          <w:sz w:val="22"/>
        </w:rPr>
        <w:t>Estimates have moved meaningfully higher since the Q2 print — 3Q26 Operating EPS consensus is up ~7% from the post-earnings baseline and revenue is up ~$44M — suggesting the Street has been upgrading its view in line with management’s confident tone. The gap between current consensus and guidance is narrow, leaving limited room for a “guidance beat” surprise but also little downside if the company simply executes to plan.</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Q2 Earnings (May 5, 2026)</w:t>
            </w:r>
          </w:p>
        </w:tc>
        <w:tc>
          <w:tcPr>
            <w:tcW w:type="dxa" w:w="1080"/>
            <w:shd w:val="clear" w:color="auto" w:fill="3B4259"/>
          </w:tcPr>
          <w:p>
            <w:r>
              <w:rPr>
                <w:rFonts w:ascii="Calibri" w:hAnsi="Calibri"/>
                <w:b/>
                <w:color w:val="FFFFFF"/>
                <w:sz w:val="22"/>
              </w:rPr>
              <w:t>Current Consensus (Jul 30,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(Q2 Call, Apr 28)</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w:t>
            </w:r>
          </w:p>
        </w:tc>
      </w:tr>
      <w:tr>
        <w:tc>
          <w:tcPr>
            <w:tcW w:type="dxa" w:w="1080"/>
          </w:tcPr>
          <w:p>
            <w:r>
              <w:rPr>
                <w:rFonts w:ascii="Calibri" w:hAnsi="Calibri"/>
                <w:sz w:val="22"/>
              </w:rPr>
              <w:t>Operating EPS — Diluted (3Q26)</w:t>
            </w:r>
          </w:p>
        </w:tc>
        <w:tc>
          <w:tcPr>
            <w:tcW w:type="dxa" w:w="1080"/>
          </w:tcPr>
          <w:p>
            <w:r>
              <w:rPr>
                <w:rFonts w:ascii="Calibri" w:hAnsi="Calibri"/>
                <w:sz w:val="22"/>
              </w:rPr>
              <w:t>$0.614</w:t>
            </w:r>
          </w:p>
        </w:tc>
        <w:tc>
          <w:tcPr>
            <w:tcW w:type="dxa" w:w="1080"/>
          </w:tcPr>
          <w:p>
            <w:r>
              <w:rPr>
                <w:rFonts w:ascii="Calibri" w:hAnsi="Calibri"/>
                <w:sz w:val="22"/>
              </w:rPr>
              <w:t>$0.658</w:t>
            </w:r>
          </w:p>
        </w:tc>
        <w:tc>
          <w:tcPr>
            <w:tcW w:type="dxa" w:w="1080"/>
          </w:tcPr>
          <w:p>
            <w:r>
              <w:rPr>
                <w:rFonts w:ascii="Calibri" w:hAnsi="Calibri"/>
                <w:b/>
                <w:color w:val="30A46C"/>
                <w:sz w:val="22"/>
              </w:rPr>
              <w:t>+7.2%</w:t>
            </w:r>
          </w:p>
        </w:tc>
        <w:tc>
          <w:tcPr>
            <w:tcW w:type="dxa" w:w="1080"/>
          </w:tcPr>
          <w:p>
            <w:r>
              <w:rPr>
                <w:rFonts w:ascii="Calibri" w:hAnsi="Calibri"/>
                <w:sz w:val="22"/>
              </w:rPr>
              <w:t>No explicit guide</w:t>
            </w:r>
          </w:p>
        </w:tc>
        <w:tc>
          <w:tcPr>
            <w:tcW w:type="dxa" w:w="1080"/>
          </w:tcPr>
          <w:p>
            <w:r>
              <w:rPr>
                <w:rFonts w:ascii="Calibri" w:hAnsi="Calibri"/>
                <w:sz w:val="22"/>
              </w:rPr>
              <w:t>Unchanged</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Operating EPS — Diluted (FY26)</w:t>
            </w:r>
          </w:p>
        </w:tc>
        <w:tc>
          <w:tcPr>
            <w:tcW w:type="dxa" w:w="1080"/>
          </w:tcPr>
          <w:p>
            <w:r>
              <w:rPr>
                <w:rFonts w:ascii="Calibri" w:hAnsi="Calibri"/>
                <w:sz w:val="22"/>
              </w:rPr>
              <w:t>$2.741</w:t>
            </w:r>
          </w:p>
        </w:tc>
        <w:tc>
          <w:tcPr>
            <w:tcW w:type="dxa" w:w="1080"/>
          </w:tcPr>
          <w:p>
            <w:r>
              <w:rPr>
                <w:rFonts w:ascii="Calibri" w:hAnsi="Calibri"/>
                <w:sz w:val="22"/>
              </w:rPr>
              <w:t>$2.810</w:t>
            </w:r>
          </w:p>
        </w:tc>
        <w:tc>
          <w:tcPr>
            <w:tcW w:type="dxa" w:w="1080"/>
          </w:tcPr>
          <w:p>
            <w:r>
              <w:rPr>
                <w:rFonts w:ascii="Calibri" w:hAnsi="Calibri"/>
                <w:b/>
                <w:color w:val="30A46C"/>
                <w:sz w:val="22"/>
              </w:rPr>
              <w:t>+2.5%</w:t>
            </w:r>
          </w:p>
        </w:tc>
        <w:tc>
          <w:tcPr>
            <w:tcW w:type="dxa" w:w="1080"/>
          </w:tcPr>
          <w:p>
            <w:r>
              <w:rPr>
                <w:rFonts w:ascii="Calibri" w:hAnsi="Calibri"/>
                <w:sz w:val="22"/>
              </w:rPr>
              <w:t>No explicit guide</w:t>
            </w:r>
          </w:p>
        </w:tc>
        <w:tc>
          <w:tcPr>
            <w:tcW w:type="dxa" w:w="1080"/>
          </w:tcPr>
          <w:p>
            <w:r>
              <w:rPr>
                <w:rFonts w:ascii="Calibri" w:hAnsi="Calibri"/>
                <w:sz w:val="22"/>
              </w:rPr>
              <w:t>Unchanged</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Total Operating Revenue — Operating (3Q26)</w:t>
            </w:r>
          </w:p>
        </w:tc>
        <w:tc>
          <w:tcPr>
            <w:tcW w:type="dxa" w:w="1080"/>
          </w:tcPr>
          <w:p>
            <w:r>
              <w:rPr>
                <w:rFonts w:ascii="Calibri" w:hAnsi="Calibri"/>
                <w:sz w:val="22"/>
              </w:rPr>
              <w:t>$1.739B</w:t>
            </w:r>
          </w:p>
        </w:tc>
        <w:tc>
          <w:tcPr>
            <w:tcW w:type="dxa" w:w="1080"/>
          </w:tcPr>
          <w:p>
            <w:r>
              <w:rPr>
                <w:rFonts w:ascii="Calibri" w:hAnsi="Calibri"/>
                <w:sz w:val="22"/>
              </w:rPr>
              <w:t>$1.783B</w:t>
            </w:r>
          </w:p>
        </w:tc>
        <w:tc>
          <w:tcPr>
            <w:tcW w:type="dxa" w:w="1080"/>
          </w:tcPr>
          <w:p>
            <w:r>
              <w:rPr>
                <w:rFonts w:ascii="Calibri" w:hAnsi="Calibri"/>
                <w:b/>
                <w:color w:val="30A46C"/>
                <w:sz w:val="22"/>
              </w:rPr>
              <w:t>+2.5%</w:t>
            </w:r>
          </w:p>
        </w:tc>
        <w:tc>
          <w:tcPr>
            <w:tcW w:type="dxa" w:w="1080"/>
          </w:tcPr>
          <w:p>
            <w:r>
              <w:rPr>
                <w:rFonts w:ascii="Calibri" w:hAnsi="Calibri"/>
                <w:sz w:val="22"/>
              </w:rPr>
              <w:t>Eff. fee rate mid-to-high 37s; inv. mgmt. fee rev. +6%+ YoY</w:t>
            </w:r>
          </w:p>
        </w:tc>
        <w:tc>
          <w:tcPr>
            <w:tcW w:type="dxa" w:w="1080"/>
          </w:tcPr>
          <w:p>
            <w:r>
              <w:rPr>
                <w:rFonts w:ascii="Calibri" w:hAnsi="Calibri"/>
                <w:sz w:val="22"/>
              </w:rPr>
              <w:t>Unchanged</w:t>
            </w:r>
          </w:p>
        </w:tc>
        <w:tc>
          <w:tcPr>
            <w:tcW w:type="dxa" w:w="1080"/>
          </w:tcPr>
          <w:p>
            <w:r>
              <w:rPr>
                <w:rFonts w:ascii="Calibri" w:hAnsi="Calibri"/>
                <w:sz w:val="22"/>
              </w:rPr>
              <w:t>N/A</w:t>
            </w:r>
          </w:p>
        </w:tc>
        <w:tc>
          <w:tcPr>
            <w:tcW w:type="dxa" w:w="1080"/>
          </w:tcPr>
          <w:p>
            <w:r>
              <w:rPr>
                <w:rFonts w:ascii="Calibri" w:hAnsi="Calibri"/>
                <w:sz w:val="22"/>
              </w:rPr>
              <w:t>Broadly in line</w:t>
            </w:r>
          </w:p>
        </w:tc>
      </w:tr>
      <w:tr>
        <w:tc>
          <w:tcPr>
            <w:tcW w:type="dxa" w:w="1080"/>
          </w:tcPr>
          <w:p>
            <w:r>
              <w:rPr>
                <w:rFonts w:ascii="Calibri" w:hAnsi="Calibri"/>
                <w:sz w:val="22"/>
              </w:rPr>
              <w:t>Total Operating Revenue — Operating (FY26)</w:t>
            </w:r>
          </w:p>
        </w:tc>
        <w:tc>
          <w:tcPr>
            <w:tcW w:type="dxa" w:w="1080"/>
          </w:tcPr>
          <w:p>
            <w:r>
              <w:rPr>
                <w:rFonts w:ascii="Calibri" w:hAnsi="Calibri"/>
                <w:sz w:val="22"/>
              </w:rPr>
              <w:t>$7.045B</w:t>
            </w:r>
          </w:p>
        </w:tc>
        <w:tc>
          <w:tcPr>
            <w:tcW w:type="dxa" w:w="1080"/>
          </w:tcPr>
          <w:p>
            <w:r>
              <w:rPr>
                <w:rFonts w:ascii="Calibri" w:hAnsi="Calibri"/>
                <w:sz w:val="22"/>
              </w:rPr>
              <w:t>$7.152B</w:t>
            </w:r>
          </w:p>
        </w:tc>
        <w:tc>
          <w:tcPr>
            <w:tcW w:type="dxa" w:w="1080"/>
          </w:tcPr>
          <w:p>
            <w:r>
              <w:rPr>
                <w:rFonts w:ascii="Calibri" w:hAnsi="Calibri"/>
                <w:b/>
                <w:color w:val="30A46C"/>
                <w:sz w:val="22"/>
              </w:rPr>
              <w:t>+1.5%</w:t>
            </w:r>
          </w:p>
        </w:tc>
        <w:tc>
          <w:tcPr>
            <w:tcW w:type="dxa" w:w="1080"/>
          </w:tcPr>
          <w:p>
            <w:r>
              <w:rPr>
                <w:rFonts w:ascii="Calibri" w:hAnsi="Calibri"/>
                <w:sz w:val="22"/>
              </w:rPr>
              <w:t>Inv. mgmt. fee rev. +6%+ YoY; expenses +~1.5% vs. FY25</w:t>
            </w:r>
          </w:p>
        </w:tc>
        <w:tc>
          <w:tcPr>
            <w:tcW w:type="dxa" w:w="1080"/>
          </w:tcPr>
          <w:p>
            <w:r>
              <w:rPr>
                <w:rFonts w:ascii="Calibri" w:hAnsi="Calibri"/>
                <w:sz w:val="22"/>
              </w:rPr>
              <w:t>Unchanged</w:t>
            </w:r>
          </w:p>
        </w:tc>
        <w:tc>
          <w:tcPr>
            <w:tcW w:type="dxa" w:w="1080"/>
          </w:tcPr>
          <w:p>
            <w:r>
              <w:rPr>
                <w:rFonts w:ascii="Calibri" w:hAnsi="Calibri"/>
                <w:sz w:val="22"/>
              </w:rPr>
              <w:t>N/A</w:t>
            </w:r>
          </w:p>
        </w:tc>
        <w:tc>
          <w:tcPr>
            <w:tcW w:type="dxa" w:w="1080"/>
          </w:tcPr>
          <w:p>
            <w:r>
              <w:rPr>
                <w:rFonts w:ascii="Calibri" w:hAnsi="Calibri"/>
                <w:sz w:val="22"/>
              </w:rPr>
              <w:t>Broadly in line</w:t>
            </w:r>
          </w:p>
        </w:tc>
      </w:tr>
      <w:tr>
        <w:tc>
          <w:tcPr>
            <w:tcW w:type="dxa" w:w="1080"/>
          </w:tcPr>
          <w:p>
            <w:r>
              <w:rPr>
                <w:rFonts w:ascii="Calibri" w:hAnsi="Calibri"/>
                <w:sz w:val="22"/>
              </w:rPr>
              <w:t>Total Net Flows (3Q26)</w:t>
            </w:r>
          </w:p>
        </w:tc>
        <w:tc>
          <w:tcPr>
            <w:tcW w:type="dxa" w:w="1080"/>
          </w:tcPr>
          <w:p>
            <w:r>
              <w:rPr>
                <w:rFonts w:ascii="Calibri" w:hAnsi="Calibri"/>
                <w:sz w:val="22"/>
              </w:rPr>
              <w:t>$6.7B</w:t>
            </w:r>
          </w:p>
        </w:tc>
        <w:tc>
          <w:tcPr>
            <w:tcW w:type="dxa" w:w="1080"/>
          </w:tcPr>
          <w:p>
            <w:r>
              <w:rPr>
                <w:rFonts w:ascii="Calibri" w:hAnsi="Calibri"/>
                <w:sz w:val="22"/>
              </w:rPr>
              <w:t>$11.5B</w:t>
            </w:r>
          </w:p>
        </w:tc>
        <w:tc>
          <w:tcPr>
            <w:tcW w:type="dxa" w:w="1080"/>
          </w:tcPr>
          <w:p>
            <w:r>
              <w:rPr>
                <w:rFonts w:ascii="Calibri" w:hAnsi="Calibri"/>
                <w:b/>
                <w:color w:val="30A46C"/>
                <w:sz w:val="22"/>
              </w:rPr>
              <w:t>+72.4%</w:t>
            </w:r>
          </w:p>
        </w:tc>
        <w:tc>
          <w:tcPr>
            <w:tcW w:type="dxa" w:w="1080"/>
          </w:tcPr>
          <w:p>
            <w:r>
              <w:rPr>
                <w:rFonts w:ascii="Calibri" w:hAnsi="Calibri"/>
                <w:sz w:val="22"/>
              </w:rPr>
              <w:t>No explicit guide; sequential step-down from record Q2 expected</w:t>
            </w:r>
          </w:p>
        </w:tc>
        <w:tc>
          <w:tcPr>
            <w:tcW w:type="dxa" w:w="1080"/>
          </w:tcPr>
          <w:p>
            <w:r>
              <w:rPr>
                <w:rFonts w:ascii="Calibri" w:hAnsi="Calibri"/>
                <w:sz w:val="22"/>
              </w:rPr>
              <w:t>Unchanged</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Total Net Flows (FY26)</w:t>
            </w:r>
          </w:p>
        </w:tc>
        <w:tc>
          <w:tcPr>
            <w:tcW w:type="dxa" w:w="1080"/>
          </w:tcPr>
          <w:p>
            <w:r>
              <w:rPr>
                <w:rFonts w:ascii="Calibri" w:hAnsi="Calibri"/>
                <w:sz w:val="22"/>
              </w:rPr>
              <w:t>$66.1B</w:t>
            </w:r>
          </w:p>
        </w:tc>
        <w:tc>
          <w:tcPr>
            <w:tcW w:type="dxa" w:w="1080"/>
          </w:tcPr>
          <w:p>
            <w:r>
              <w:rPr>
                <w:rFonts w:ascii="Calibri" w:hAnsi="Calibri"/>
                <w:sz w:val="22"/>
              </w:rPr>
              <w:t>$76.7B</w:t>
            </w:r>
          </w:p>
        </w:tc>
        <w:tc>
          <w:tcPr>
            <w:tcW w:type="dxa" w:w="1080"/>
          </w:tcPr>
          <w:p>
            <w:r>
              <w:rPr>
                <w:rFonts w:ascii="Calibri" w:hAnsi="Calibri"/>
                <w:b/>
                <w:color w:val="30A46C"/>
                <w:sz w:val="22"/>
              </w:rPr>
              <w:t>+16.0%</w:t>
            </w:r>
          </w:p>
        </w:tc>
        <w:tc>
          <w:tcPr>
            <w:tcW w:type="dxa" w:w="1080"/>
          </w:tcPr>
          <w:p>
            <w:r>
              <w:rPr>
                <w:rFonts w:ascii="Calibri" w:hAnsi="Calibri"/>
                <w:sz w:val="22"/>
              </w:rPr>
              <w:t>Exceed $25–30B private markets target; CEO expects above $30B</w:t>
            </w:r>
          </w:p>
        </w:tc>
        <w:tc>
          <w:tcPr>
            <w:tcW w:type="dxa" w:w="1080"/>
          </w:tcPr>
          <w:p>
            <w:r>
              <w:rPr>
                <w:rFonts w:ascii="Calibri" w:hAnsi="Calibri"/>
                <w:sz w:val="22"/>
              </w:rPr>
              <w:t>Unchanged</w:t>
            </w:r>
          </w:p>
        </w:tc>
        <w:tc>
          <w:tcPr>
            <w:tcW w:type="dxa" w:w="1080"/>
          </w:tcPr>
          <w:p>
            <w:r>
              <w:rPr>
                <w:rFonts w:ascii="Calibri" w:hAnsi="Calibri"/>
                <w:sz w:val="22"/>
              </w:rPr>
              <w:t>N/A</w:t>
            </w:r>
          </w:p>
        </w:tc>
        <w:tc>
          <w:tcPr>
            <w:tcW w:type="dxa" w:w="1080"/>
          </w:tcPr>
          <w:p>
            <w:r>
              <w:rPr>
                <w:rFonts w:ascii="Calibri" w:hAnsi="Calibri"/>
                <w:sz w:val="22"/>
              </w:rPr>
              <w:t>Consensus well above prior guidance range</w:t>
            </w:r>
          </w:p>
        </w:tc>
      </w:tr>
    </w:tbl>
    <w:p>
      <w:r>
        <w:rPr>
          <w:rFonts w:ascii="Calibri" w:hAnsi="Calibri"/>
          <w:color w:val="525866"/>
          <w:sz w:val="22"/>
        </w:rPr>
        <w:t>The most notable revision is in net flows, where the 3Q26 consensus has risen +72% from the post-Q2 baseline ($6.7B → $11.5B), reflecting the Street’s growing confidence in BEN’s organic growth trajectory. The FY26 total net flow consensus of $76.7B is now well above the $66.1B post-Q2 baseline, suggesting analysts are extrapolating the strong Q1/Q2 momentum into the back half of the year. EPS revisions of +7% for 3Q26 are directionally consistent with management’s confident tone but leave the bar still beatable given the recent pattern of 17–29% EPS beats.</w:t>
      </w:r>
    </w:p>
    <w:p>
      <w:r>
        <w:rPr>
          <w:rFonts w:ascii="Calibri" w:hAnsi="Calibri"/>
          <w:i/>
          <w:color w:val="525866"/>
          <w:sz w:val="22"/>
        </w:rPr>
        <w:t>Source: Visible Alpha Consensus and Actuals Data</w:t>
      </w:r>
    </w:p>
    <w:p>
      <w:r>
        <w:br w:type="page"/>
      </w:r>
    </w:p>
    <w:p>
      <w:pPr>
        <w:pStyle w:val="Heading1"/>
        <w:pBdr>
          <w:bottom w:val="single" w:sz="4" w:space="1" w:color="FB9120"/>
        </w:pBdr>
      </w:pPr>
      <w:r>
        <w:rPr>
          <w:rFonts w:ascii="Calibri" w:hAnsi="Calibri"/>
          <w:b/>
          <w:color w:val="3B4259"/>
          <w:sz w:val="40"/>
        </w:rPr>
        <w:t>5. Stock Performance</w:t>
      </w:r>
    </w:p>
    <w:p>
      <w:r>
        <w:rPr>
          <w:rFonts w:ascii="Calibri" w:hAnsi="Calibri"/>
          <w:b/>
          <w:color w:val="525866"/>
          <w:sz w:val="22"/>
        </w:rPr>
        <w:t xml:space="preserve">Key Takeaway: </w:t>
      </w:r>
      <w:r>
        <w:rPr>
          <w:rFonts w:ascii="Calibri" w:hAnsi="Calibri"/>
          <w:color w:val="525866"/>
          <w:sz w:val="22"/>
        </w:rPr>
        <w:t>BEN has outperformed both XLF (+10%) and the S&amp;P 500 (+4%) by a wide margin since the April 28 earnings date (+13%), driven by a combination of multiple re-rating (P/B expanded from ~1.06x to ~1.33x over 6 months) and earnings estimate upgrades. The stock’s NTM P/E of ~10.6x remains well below the asset management peer group, suggesting the re-rating story is not yet complete if the organic growth narrative holds.</w:t>
      </w:r>
    </w:p>
    <w:p>
      <w:r>
        <w:rPr>
          <w:rFonts w:ascii="Calibri" w:hAnsi="Calibri"/>
          <w:b/>
          <w:color w:val="525866"/>
          <w:sz w:val="22"/>
        </w:rPr>
        <w:t xml:space="preserve">Sector ETF used: </w:t>
      </w:r>
      <w:r>
        <w:rPr>
          <w:rFonts w:ascii="Calibri" w:hAnsi="Calibri"/>
          <w:color w:val="525866"/>
          <w:sz w:val="22"/>
        </w:rPr>
        <w:t>XLF (Financial Select Sector SPDR Fund) — appropriate for BEN as a diversified financial services / asset management company. The chart below is indexed to 100 at the April 28, 2026 earnings date.</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Metric</w:t>
            </w:r>
          </w:p>
        </w:tc>
        <w:tc>
          <w:tcPr>
            <w:tcW w:type="dxa" w:w="2160"/>
            <w:shd w:val="clear" w:color="auto" w:fill="3B4259"/>
          </w:tcPr>
          <w:p>
            <w:r>
              <w:rPr>
                <w:rFonts w:ascii="Calibri" w:hAnsi="Calibri"/>
                <w:b/>
                <w:color w:val="FFFFFF"/>
                <w:sz w:val="22"/>
              </w:rPr>
              <w:t>BEN</w:t>
            </w:r>
          </w:p>
        </w:tc>
        <w:tc>
          <w:tcPr>
            <w:tcW w:type="dxa" w:w="2160"/>
            <w:shd w:val="clear" w:color="auto" w:fill="3B4259"/>
          </w:tcPr>
          <w:p>
            <w:r>
              <w:rPr>
                <w:rFonts w:ascii="Calibri" w:hAnsi="Calibri"/>
                <w:b/>
                <w:color w:val="FFFFFF"/>
                <w:sz w:val="22"/>
              </w:rPr>
              <w:t>XLF</w:t>
            </w:r>
          </w:p>
        </w:tc>
        <w:tc>
          <w:tcPr>
            <w:tcW w:type="dxa" w:w="2160"/>
            <w:shd w:val="clear" w:color="auto" w:fill="3B4259"/>
          </w:tcPr>
          <w:p>
            <w:r>
              <w:rPr>
                <w:rFonts w:ascii="Calibri" w:hAnsi="Calibri"/>
                <w:b/>
                <w:color w:val="FFFFFF"/>
                <w:sz w:val="22"/>
              </w:rPr>
              <w:t>S&amp;P 500 (SPY)</w:t>
            </w:r>
          </w:p>
        </w:tc>
      </w:tr>
      <w:tr>
        <w:tc>
          <w:tcPr>
            <w:tcW w:type="dxa" w:w="2160"/>
          </w:tcPr>
          <w:p>
            <w:r>
              <w:rPr>
                <w:rFonts w:ascii="Calibri" w:hAnsi="Calibri"/>
                <w:sz w:val="22"/>
              </w:rPr>
              <w:t>Price at Last Earnings (Apr 28, 2026)</w:t>
            </w:r>
          </w:p>
        </w:tc>
        <w:tc>
          <w:tcPr>
            <w:tcW w:type="dxa" w:w="2160"/>
          </w:tcPr>
          <w:p>
            <w:r>
              <w:rPr>
                <w:rFonts w:ascii="Calibri" w:hAnsi="Calibri"/>
                <w:sz w:val="22"/>
              </w:rPr>
              <w:t>$29.46</w:t>
            </w:r>
          </w:p>
        </w:tc>
        <w:tc>
          <w:tcPr>
            <w:tcW w:type="dxa" w:w="2160"/>
          </w:tcPr>
          <w:p>
            <w:r>
              <w:rPr>
                <w:rFonts w:ascii="Calibri" w:hAnsi="Calibri"/>
                <w:sz w:val="22"/>
              </w:rPr>
              <w:t>$51.85</w:t>
            </w:r>
          </w:p>
        </w:tc>
        <w:tc>
          <w:tcPr>
            <w:tcW w:type="dxa" w:w="2160"/>
          </w:tcPr>
          <w:p>
            <w:r>
              <w:rPr>
                <w:rFonts w:ascii="Calibri" w:hAnsi="Calibri"/>
                <w:sz w:val="22"/>
              </w:rPr>
              <w:t>$711.69</w:t>
            </w:r>
          </w:p>
        </w:tc>
      </w:tr>
      <w:tr>
        <w:tc>
          <w:tcPr>
            <w:tcW w:type="dxa" w:w="2160"/>
          </w:tcPr>
          <w:p>
            <w:r>
              <w:rPr>
                <w:rFonts w:ascii="Calibri" w:hAnsi="Calibri"/>
                <w:sz w:val="22"/>
              </w:rPr>
              <w:t>Price as of Jul 30, 2026</w:t>
            </w:r>
          </w:p>
        </w:tc>
        <w:tc>
          <w:tcPr>
            <w:tcW w:type="dxa" w:w="2160"/>
          </w:tcPr>
          <w:p>
            <w:r>
              <w:rPr>
                <w:rFonts w:ascii="Calibri" w:hAnsi="Calibri"/>
                <w:sz w:val="22"/>
              </w:rPr>
              <w:t>$33.17</w:t>
            </w:r>
          </w:p>
        </w:tc>
        <w:tc>
          <w:tcPr>
            <w:tcW w:type="dxa" w:w="2160"/>
          </w:tcPr>
          <w:p>
            <w:r>
              <w:rPr>
                <w:rFonts w:ascii="Calibri" w:hAnsi="Calibri"/>
                <w:sz w:val="22"/>
              </w:rPr>
              <w:t>$57.00</w:t>
            </w:r>
          </w:p>
        </w:tc>
        <w:tc>
          <w:tcPr>
            <w:tcW w:type="dxa" w:w="2160"/>
          </w:tcPr>
          <w:p>
            <w:r>
              <w:rPr>
                <w:rFonts w:ascii="Calibri" w:hAnsi="Calibri"/>
                <w:sz w:val="22"/>
              </w:rPr>
              <w:t>$741.69</w:t>
            </w:r>
          </w:p>
        </w:tc>
      </w:tr>
      <w:tr>
        <w:tc>
          <w:tcPr>
            <w:tcW w:type="dxa" w:w="2160"/>
          </w:tcPr>
          <w:p>
            <w:r>
              <w:rPr>
                <w:rFonts w:ascii="Calibri" w:hAnsi="Calibri"/>
                <w:sz w:val="22"/>
              </w:rPr>
              <w:t>Return Since Last Earnings</w:t>
            </w:r>
          </w:p>
        </w:tc>
        <w:tc>
          <w:tcPr>
            <w:tcW w:type="dxa" w:w="2160"/>
          </w:tcPr>
          <w:p>
            <w:r>
              <w:rPr>
                <w:rFonts w:ascii="Calibri" w:hAnsi="Calibri"/>
                <w:b/>
                <w:color w:val="30A46C"/>
                <w:sz w:val="22"/>
              </w:rPr>
              <w:t>+12.6%</w:t>
            </w:r>
          </w:p>
        </w:tc>
        <w:tc>
          <w:tcPr>
            <w:tcW w:type="dxa" w:w="2160"/>
          </w:tcPr>
          <w:p>
            <w:r>
              <w:rPr>
                <w:rFonts w:ascii="Calibri" w:hAnsi="Calibri"/>
                <w:sz w:val="22"/>
              </w:rPr>
              <w:t>+9.9%</w:t>
            </w:r>
          </w:p>
        </w:tc>
        <w:tc>
          <w:tcPr>
            <w:tcW w:type="dxa" w:w="2160"/>
          </w:tcPr>
          <w:p>
            <w:r>
              <w:rPr>
                <w:rFonts w:ascii="Calibri" w:hAnsi="Calibri"/>
                <w:sz w:val="22"/>
              </w:rPr>
              <w:t>+4.2%</w:t>
            </w:r>
          </w:p>
        </w:tc>
      </w:tr>
      <w:tr>
        <w:tc>
          <w:tcPr>
            <w:tcW w:type="dxa" w:w="2160"/>
          </w:tcPr>
          <w:p>
            <w:r>
              <w:rPr>
                <w:rFonts w:ascii="Calibri" w:hAnsi="Calibri"/>
                <w:sz w:val="22"/>
              </w:rPr>
              <w:t>Peak Price Since Earnings</w:t>
            </w:r>
          </w:p>
        </w:tc>
        <w:tc>
          <w:tcPr>
            <w:tcW w:type="dxa" w:w="2160"/>
          </w:tcPr>
          <w:p>
            <w:r>
              <w:rPr>
                <w:rFonts w:ascii="Calibri" w:hAnsi="Calibri"/>
                <w:sz w:val="22"/>
              </w:rPr>
              <w:t>$34.44 (Jul 6)</w:t>
            </w:r>
          </w:p>
        </w:tc>
        <w:tc>
          <w:tcPr>
            <w:tcW w:type="dxa" w:w="2160"/>
          </w:tcPr>
          <w:p>
            <w:r>
              <w:rPr>
                <w:rFonts w:ascii="Calibri" w:hAnsi="Calibri"/>
                <w:sz w:val="22"/>
              </w:rPr>
              <w:t>$56.75 (Jul 16)</w:t>
            </w:r>
          </w:p>
        </w:tc>
        <w:tc>
          <w:tcPr>
            <w:tcW w:type="dxa" w:w="2160"/>
          </w:tcPr>
          <w:p>
            <w:r>
              <w:rPr>
                <w:rFonts w:ascii="Calibri" w:hAnsi="Calibri"/>
                <w:sz w:val="22"/>
              </w:rPr>
              <w:t>$756.48 (May 29)</w:t>
            </w:r>
          </w:p>
        </w:tc>
      </w:tr>
      <w:tr>
        <w:tc>
          <w:tcPr>
            <w:tcW w:type="dxa" w:w="2160"/>
          </w:tcPr>
          <w:p>
            <w:r>
              <w:rPr>
                <w:rFonts w:ascii="Calibri" w:hAnsi="Calibri"/>
                <w:sz w:val="22"/>
              </w:rPr>
              <w:t>NTM P/E (Jul 30, 2026)</w:t>
            </w:r>
          </w:p>
        </w:tc>
        <w:tc>
          <w:tcPr>
            <w:tcW w:type="dxa" w:w="2160"/>
          </w:tcPr>
          <w:p>
            <w:r>
              <w:rPr>
                <w:rFonts w:ascii="Calibri" w:hAnsi="Calibri"/>
                <w:sz w:val="22"/>
              </w:rPr>
              <w:t>~10.6x</w:t>
            </w:r>
          </w:p>
        </w:tc>
        <w:tc>
          <w:tcPr>
            <w:tcW w:type="dxa" w:w="2160"/>
          </w:tcPr>
          <w:p>
            <w:r>
              <w:rPr>
                <w:rFonts w:ascii="Calibri" w:hAnsi="Calibri"/>
                <w:sz w:val="22"/>
              </w:rPr>
              <w:t>N/A</w:t>
            </w:r>
          </w:p>
        </w:tc>
        <w:tc>
          <w:tcPr>
            <w:tcW w:type="dxa" w:w="2160"/>
          </w:tcPr>
          <w:p>
            <w:r>
              <w:rPr>
                <w:rFonts w:ascii="Calibri" w:hAnsi="Calibri"/>
                <w:sz w:val="22"/>
              </w:rPr>
              <w:t>N/A</w:t>
            </w:r>
          </w:p>
        </w:tc>
      </w:tr>
      <w:tr>
        <w:tc>
          <w:tcPr>
            <w:tcW w:type="dxa" w:w="2160"/>
          </w:tcPr>
          <w:p>
            <w:r>
              <w:rPr>
                <w:rFonts w:ascii="Calibri" w:hAnsi="Calibri"/>
                <w:sz w:val="22"/>
              </w:rPr>
              <w:t>NTM P/B (Jul 30, 2026)</w:t>
            </w:r>
          </w:p>
        </w:tc>
        <w:tc>
          <w:tcPr>
            <w:tcW w:type="dxa" w:w="2160"/>
          </w:tcPr>
          <w:p>
            <w:r>
              <w:rPr>
                <w:rFonts w:ascii="Calibri" w:hAnsi="Calibri"/>
                <w:sz w:val="22"/>
              </w:rPr>
              <w:t>~1.33x</w:t>
            </w:r>
          </w:p>
        </w:tc>
        <w:tc>
          <w:tcPr>
            <w:tcW w:type="dxa" w:w="2160"/>
          </w:tcPr>
          <w:p>
            <w:r>
              <w:rPr>
                <w:rFonts w:ascii="Calibri" w:hAnsi="Calibri"/>
                <w:sz w:val="22"/>
              </w:rPr>
              <w:t>N/A</w:t>
            </w:r>
          </w:p>
        </w:tc>
        <w:tc>
          <w:tcPr>
            <w:tcW w:type="dxa" w:w="2160"/>
          </w:tcPr>
          <w:p>
            <w:r>
              <w:rPr>
                <w:rFonts w:ascii="Calibri" w:hAnsi="Calibri"/>
                <w:sz w:val="22"/>
              </w:rPr>
              <w:t>N/A</w:t>
            </w:r>
          </w:p>
        </w:tc>
      </w:tr>
    </w:tbl>
    <w:p>
      <w:r>
        <w:rPr>
          <w:rFonts w:ascii="Calibri" w:hAnsi="Calibri"/>
          <w:b/>
          <w:color w:val="525866"/>
          <w:sz w:val="22"/>
        </w:rPr>
        <w:t xml:space="preserve">Performance Narrative: </w:t>
      </w:r>
      <w:r>
        <w:rPr>
          <w:rFonts w:ascii="Calibri" w:hAnsi="Calibri"/>
          <w:color w:val="525866"/>
          <w:sz w:val="22"/>
        </w:rPr>
        <w:t>BEN’s outperformance since the April 28 print has been driven by two distinct phases: (1) an initial post-earnings rally through mid-May as the market digested the strong Q2 beat and raised fundraising guidance, and (2) a second leg higher in June–early July as broader financial sector sentiment improved and BEN’s alternatives narrative gained further traction. The stock pulled back modestly in mid-to-late July (from $34.44 peak to ~$32–33 range) as the market consolidated ahead of the Q3 print, suggesting some profit-taking but no fundamental deterioration in the thesis. The 6-month P/B expansion from 1.06x to 1.33x (+25%) confirms that multiple re-rating — not just earnings growth — has been the primary driver of the stock’s 29% 6-month return.</w:t>
      </w:r>
    </w:p>
    <w:p>
      <w:r>
        <w:rPr>
          <w:rFonts w:ascii="Calibri" w:hAnsi="Calibri"/>
          <w:i/>
          <w:color w:val="525866"/>
          <w:sz w:val="22"/>
        </w:rPr>
        <w:t>Source: Stock Price Data (Yahoo Finance)</w:t>
      </w:r>
    </w:p>
    <w:p>
      <w:r>
        <w:br w:type="page"/>
      </w:r>
    </w:p>
    <w:p>
      <w:pPr>
        <w:pStyle w:val="Heading1"/>
        <w:pBdr>
          <w:bottom w:val="single" w:sz="4" w:space="1" w:color="FB9120"/>
        </w:pBdr>
      </w:pPr>
      <w:r>
        <w:rPr>
          <w:rFonts w:ascii="Calibri" w:hAnsi="Calibri"/>
          <w:b/>
          <w:color w:val="3B4259"/>
          <w:sz w:val="40"/>
        </w:rPr>
        <w:t>6. Peer Commentary Read-Throughs (Last 60 Days)</w:t>
      </w:r>
    </w:p>
    <w:p>
      <w:r>
        <w:rPr>
          <w:rFonts w:ascii="Calibri" w:hAnsi="Calibri"/>
          <w:b/>
          <w:color w:val="525866"/>
          <w:sz w:val="22"/>
        </w:rPr>
        <w:t xml:space="preserve">Key Takeaway: </w:t>
      </w:r>
      <w:r>
        <w:rPr>
          <w:rFonts w:ascii="Calibri" w:hAnsi="Calibri"/>
          <w:color w:val="525866"/>
          <w:sz w:val="22"/>
        </w:rPr>
        <w:t>Peer Q2 2026 earnings calls (reported July 2026) are uniformly constructive for BEN’s 3Q26 setup — alternatives fundraising is accelerating across the industry, wealth channel demand is recovering from April lows, and the private credit/infrastructure CapEx cycle is creating durable tailwinds. The most direct read-throughs come from BX (alternatives fundraising inflection), KKR (wealth channel rebound + record fundraising year), and OWL (evergreen inflows bottoming).</w:t>
      </w:r>
    </w:p>
    <w:p>
      <w:r>
        <w:rPr>
          <w:rFonts w:ascii="Calibri" w:hAnsi="Calibri"/>
          <w:i/>
          <w:color w:val="525866"/>
          <w:sz w:val="22"/>
        </w:rPr>
        <w:t xml:space="preserve">Methodology note: </w:t>
      </w:r>
      <w:r>
        <w:rPr>
          <w:rFonts w:ascii="Calibri" w:hAnsi="Calibri"/>
          <w:i/>
          <w:color w:val="525866"/>
          <w:sz w:val="22"/>
        </w:rPr>
        <w:t>Only commentary explicitly about Q3 2026 (current reporting quarter) or post-Q2 forward-looking statements from peer earnings calls and conferences is included below. Retrospective commentary about peers’ own Q2 2026 results is excluded.</w:t>
      </w:r>
    </w:p>
    <w:p>
      <w:pPr>
        <w:pStyle w:val="Heading2"/>
      </w:pPr>
      <w:r>
        <w:rPr>
          <w:rFonts w:ascii="Calibri" w:hAnsi="Calibri"/>
          <w:b/>
          <w:color w:val="3B4259"/>
          <w:sz w:val="28"/>
        </w:rPr>
        <w:t>Blackstone (BX) — Q2 2026 Earnings Call, July 23, 2026</w:t>
      </w:r>
    </w:p>
    <w:p>
      <w:r>
        <w:rPr>
          <w:rFonts w:ascii="Calibri" w:hAnsi="Calibri"/>
          <w:b/>
          <w:color w:val="525866"/>
          <w:sz w:val="22"/>
        </w:rPr>
        <w:t xml:space="preserve">Relevance to BEN: </w:t>
      </w:r>
      <w:r>
        <w:rPr>
          <w:rFonts w:ascii="Calibri" w:hAnsi="Calibri"/>
          <w:color w:val="525866"/>
          <w:sz w:val="22"/>
        </w:rPr>
        <w:t>BX is the largest alternatives manager globally and its commentary on wealth channel momentum, fundraising pipeline, and institutional demand is the most direct read-through for BEN’s alternatives business.</w:t>
      </w:r>
    </w:p>
    <w:p>
      <w:pPr>
        <w:pStyle w:val="ListBullet"/>
        <w:ind w:left="360" w:hanging="360"/>
      </w:pPr>
      <w:r>
        <w:rPr>
          <w:rFonts w:ascii="Calibri" w:hAnsi="Calibri"/>
          <w:b/>
          <w:color w:val="525866"/>
          <w:sz w:val="22"/>
        </w:rPr>
        <w:t xml:space="preserve">Wealth channel momentum continuing into Q3: </w:t>
      </w:r>
      <w:r>
        <w:rPr>
          <w:rFonts w:ascii="Calibri" w:hAnsi="Calibri"/>
          <w:color w:val="525866"/>
          <w:sz w:val="22"/>
        </w:rPr>
        <w:t xml:space="preserve">"This momentum has continued so far in Q3." BCRA redemptions are "down materially" early in Q3, attributed to reduced market noise and improving fundamentals. </w:t>
      </w:r>
      <w:r>
        <w:rPr>
          <w:rFonts w:ascii="Calibri" w:hAnsi="Calibri"/>
          <w:b/>
          <w:color w:val="525866"/>
          <w:sz w:val="22"/>
        </w:rPr>
        <w:t xml:space="preserve">→ Read-through: </w:t>
      </w:r>
      <w:r>
        <w:rPr>
          <w:rFonts w:ascii="Calibri" w:hAnsi="Calibri"/>
          <w:color w:val="525866"/>
          <w:sz w:val="22"/>
        </w:rPr>
        <w:t>Positive for BEN’s evergreen product flows and Canvas/ETF demand in Q3. Reduced redemption pressure across the industry supports BEN’s wealth channel fundraising.</w:t>
      </w:r>
    </w:p>
    <w:p>
      <w:pPr>
        <w:pStyle w:val="ListBullet"/>
        <w:ind w:left="360" w:hanging="360"/>
      </w:pPr>
      <w:r>
        <w:rPr>
          <w:rFonts w:ascii="Calibri" w:hAnsi="Calibri"/>
          <w:b/>
          <w:color w:val="525866"/>
          <w:sz w:val="22"/>
        </w:rPr>
        <w:t xml:space="preserve">Record BCMA inflows post-quarter: </w:t>
      </w:r>
      <w:r>
        <w:rPr>
          <w:rFonts w:ascii="Calibri" w:hAnsi="Calibri"/>
          <w:color w:val="525866"/>
          <w:sz w:val="22"/>
        </w:rPr>
        <w:t xml:space="preserve">"On July 1st, BCMA reported an additional $4.8 billion of monthly inflows, its best single month of fundraising in history." </w:t>
      </w:r>
      <w:r>
        <w:rPr>
          <w:rFonts w:ascii="Calibri" w:hAnsi="Calibri"/>
          <w:b/>
          <w:color w:val="525866"/>
          <w:sz w:val="22"/>
        </w:rPr>
        <w:t xml:space="preserve">→ Read-through: </w:t>
      </w:r>
      <w:r>
        <w:rPr>
          <w:rFonts w:ascii="Calibri" w:hAnsi="Calibri"/>
          <w:color w:val="525866"/>
          <w:sz w:val="22"/>
        </w:rPr>
        <w:t>Institutional and wealth demand for alternatives products is accelerating into Q3, a direct positive for BEN’s private markets fundraising trajectory toward its $30B+ annual target.</w:t>
      </w:r>
    </w:p>
    <w:p>
      <w:pPr>
        <w:pStyle w:val="ListBullet"/>
        <w:ind w:left="360" w:hanging="360"/>
      </w:pPr>
      <w:r>
        <w:rPr>
          <w:rFonts w:ascii="Calibri" w:hAnsi="Calibri"/>
          <w:b/>
          <w:color w:val="525866"/>
          <w:sz w:val="22"/>
        </w:rPr>
        <w:t xml:space="preserve">New product launches driving Q3 inflows: </w:t>
      </w:r>
      <w:r>
        <w:rPr>
          <w:rFonts w:ascii="Calibri" w:hAnsi="Calibri"/>
          <w:color w:val="525866"/>
          <w:sz w:val="22"/>
        </w:rPr>
        <w:t xml:space="preserve">The WVB All Markets and WVB Blackstone All Privates funds (Wellington/Vanguard alliance) officially launched July 22, with "inflows expected to start later this quarter." </w:t>
      </w:r>
      <w:r>
        <w:rPr>
          <w:rFonts w:ascii="Calibri" w:hAnsi="Calibri"/>
          <w:b/>
          <w:color w:val="525866"/>
          <w:sz w:val="22"/>
        </w:rPr>
        <w:t xml:space="preserve">→ Read-through: </w:t>
      </w:r>
      <w:r>
        <w:rPr>
          <w:rFonts w:ascii="Calibri" w:hAnsi="Calibri"/>
          <w:color w:val="525866"/>
          <w:sz w:val="22"/>
        </w:rPr>
        <w:t>Industry-wide product innovation in multi-asset/private market blends is expanding the addressable market for BEN’s Canvas and alternatives platforms.</w:t>
      </w:r>
    </w:p>
    <w:p>
      <w:pPr>
        <w:pStyle w:val="ListBullet"/>
        <w:ind w:left="360" w:hanging="360"/>
      </w:pPr>
      <w:r>
        <w:rPr>
          <w:rFonts w:ascii="Calibri" w:hAnsi="Calibri"/>
          <w:b/>
          <w:color w:val="525866"/>
          <w:sz w:val="22"/>
        </w:rPr>
        <w:t xml:space="preserve">Base management fee growth guidance: </w:t>
      </w:r>
      <w:r>
        <w:rPr>
          <w:rFonts w:ascii="Calibri" w:hAnsi="Calibri"/>
          <w:color w:val="525866"/>
          <w:sz w:val="22"/>
        </w:rPr>
        <w:t xml:space="preserve">BX expects "similar year-over-year base management fee growth in Q3 as in Q2" with a "return to double-digit growth in base management fees in 2027." </w:t>
      </w:r>
      <w:r>
        <w:rPr>
          <w:rFonts w:ascii="Calibri" w:hAnsi="Calibri"/>
          <w:b/>
          <w:color w:val="525866"/>
          <w:sz w:val="22"/>
        </w:rPr>
        <w:t xml:space="preserve">→ Read-through: </w:t>
      </w:r>
      <w:r>
        <w:rPr>
          <w:rFonts w:ascii="Calibri" w:hAnsi="Calibri"/>
          <w:color w:val="525866"/>
          <w:sz w:val="22"/>
        </w:rPr>
        <w:t>Validates BEN’s own revenue growth trajectory and the broader industry fee rate stabilization narrative.</w:t>
      </w:r>
    </w:p>
    <w:p>
      <w:pPr>
        <w:pStyle w:val="ListBullet"/>
        <w:ind w:left="360" w:hanging="360"/>
      </w:pPr>
      <w:r>
        <w:rPr>
          <w:rFonts w:ascii="Calibri" w:hAnsi="Calibri"/>
          <w:b/>
          <w:color w:val="525866"/>
          <w:sz w:val="22"/>
        </w:rPr>
        <w:t xml:space="preserve">Sequential deceleration in realizations in Q3: </w:t>
      </w:r>
      <w:r>
        <w:rPr>
          <w:rFonts w:ascii="Calibri" w:hAnsi="Calibri"/>
          <w:color w:val="525866"/>
          <w:sz w:val="22"/>
        </w:rPr>
        <w:t xml:space="preserve">BX expects "a sequential deceleration in net realizations in Q3" but anticipates "a robust Q4 and 2027." </w:t>
      </w:r>
      <w:r>
        <w:rPr>
          <w:rFonts w:ascii="Calibri" w:hAnsi="Calibri"/>
          <w:b/>
          <w:color w:val="525866"/>
          <w:sz w:val="22"/>
        </w:rPr>
        <w:t xml:space="preserve">→ Read-through: </w:t>
      </w:r>
      <w:r>
        <w:rPr>
          <w:rFonts w:ascii="Calibri" w:hAnsi="Calibri"/>
          <w:color w:val="525866"/>
          <w:sz w:val="22"/>
        </w:rPr>
        <w:t>Modest negative for BEN’s performance fee line in Q3, consistent with management’s own guidance of $50M assumed performance fees.</w:t>
      </w:r>
    </w:p>
    <w:p>
      <w:pPr>
        <w:pStyle w:val="Heading2"/>
      </w:pPr>
      <w:r>
        <w:rPr>
          <w:rFonts w:ascii="Calibri" w:hAnsi="Calibri"/>
          <w:b/>
          <w:color w:val="3B4259"/>
          <w:sz w:val="28"/>
        </w:rPr>
        <w:t>KKR &amp; Co. (KKR) — Q2 2026 Earnings Call, July 30, 2026</w:t>
      </w:r>
    </w:p>
    <w:p>
      <w:r>
        <w:rPr>
          <w:rFonts w:ascii="Calibri" w:hAnsi="Calibri"/>
          <w:b/>
          <w:color w:val="525866"/>
          <w:sz w:val="22"/>
        </w:rPr>
        <w:t xml:space="preserve">Relevance to BEN: </w:t>
      </w:r>
      <w:r>
        <w:rPr>
          <w:rFonts w:ascii="Calibri" w:hAnsi="Calibri"/>
          <w:color w:val="525866"/>
          <w:sz w:val="22"/>
        </w:rPr>
        <w:t>KKR’s commentary on wealth channel recovery, record fundraising momentum, and private credit demand is highly relevant given BEN’s own alternatives fundraising targets and wealth channel penetration strategy.</w:t>
      </w:r>
    </w:p>
    <w:p>
      <w:pPr>
        <w:pStyle w:val="ListBullet"/>
        <w:ind w:left="360" w:hanging="360"/>
      </w:pPr>
      <w:r>
        <w:rPr>
          <w:rFonts w:ascii="Calibri" w:hAnsi="Calibri"/>
          <w:b/>
          <w:color w:val="525866"/>
          <w:sz w:val="22"/>
        </w:rPr>
        <w:t xml:space="preserve">Wealth channel inflows rebounding from April lows: </w:t>
      </w:r>
      <w:r>
        <w:rPr>
          <w:rFonts w:ascii="Calibri" w:hAnsi="Calibri"/>
          <w:color w:val="525866"/>
          <w:sz w:val="22"/>
        </w:rPr>
        <w:t xml:space="preserve">"Wealth inflows across our K-series have rebounded nicely after the April lows seen across the industry," with total K-series AUM year-to-date through June 30 up "over 20%." </w:t>
      </w:r>
      <w:r>
        <w:rPr>
          <w:rFonts w:ascii="Calibri" w:hAnsi="Calibri"/>
          <w:b/>
          <w:color w:val="525866"/>
          <w:sz w:val="22"/>
        </w:rPr>
        <w:t xml:space="preserve">→ Read-through: </w:t>
      </w:r>
      <w:r>
        <w:rPr>
          <w:rFonts w:ascii="Calibri" w:hAnsi="Calibri"/>
          <w:color w:val="525866"/>
          <w:sz w:val="22"/>
        </w:rPr>
        <w:t>Directly positive for BEN’s evergreen product flows and Canvas net inflows in Q3. The industry-wide April trough appears to be behind us.</w:t>
      </w:r>
    </w:p>
    <w:p>
      <w:pPr>
        <w:pStyle w:val="ListBullet"/>
        <w:ind w:left="360" w:hanging="360"/>
      </w:pPr>
      <w:r>
        <w:rPr>
          <w:rFonts w:ascii="Calibri" w:hAnsi="Calibri"/>
          <w:b/>
          <w:color w:val="525866"/>
          <w:sz w:val="22"/>
        </w:rPr>
        <w:t xml:space="preserve">Record fundraising year expected: </w:t>
      </w:r>
      <w:r>
        <w:rPr>
          <w:rFonts w:ascii="Calibri" w:hAnsi="Calibri"/>
          <w:color w:val="525866"/>
          <w:sz w:val="22"/>
        </w:rPr>
        <w:t xml:space="preserve">"We expect a record fundraising year for the firm, and our momentum feels like it’s accelerating." KKR has "30+ products over the next 12 to 18 months" in market. </w:t>
      </w:r>
      <w:r>
        <w:rPr>
          <w:rFonts w:ascii="Calibri" w:hAnsi="Calibri"/>
          <w:b/>
          <w:color w:val="525866"/>
          <w:sz w:val="22"/>
        </w:rPr>
        <w:t xml:space="preserve">→ Read-through: </w:t>
      </w:r>
      <w:r>
        <w:rPr>
          <w:rFonts w:ascii="Calibri" w:hAnsi="Calibri"/>
          <w:color w:val="525866"/>
          <w:sz w:val="22"/>
        </w:rPr>
        <w:t>Validates BEN’s own expectation to exceed its $30B+ private markets fundraising target for FY26. Industry fundraising conditions are favorable.</w:t>
      </w:r>
    </w:p>
    <w:p>
      <w:pPr>
        <w:pStyle w:val="ListBullet"/>
        <w:ind w:left="360" w:hanging="360"/>
      </w:pPr>
      <w:r>
        <w:rPr>
          <w:rFonts w:ascii="Calibri" w:hAnsi="Calibri"/>
          <w:b/>
          <w:color w:val="525866"/>
          <w:sz w:val="22"/>
        </w:rPr>
        <w:t xml:space="preserve">Record $72B of committed capital not yet bearing fees: </w:t>
      </w:r>
      <w:r>
        <w:rPr>
          <w:rFonts w:ascii="Calibri" w:hAnsi="Calibri"/>
          <w:color w:val="525866"/>
          <w:sz w:val="22"/>
        </w:rPr>
        <w:t xml:space="preserve">KKR has "$72 billion committed" not yet earning fees, up ~30% YoY, with a weighted average management fee of ~90 bps. </w:t>
      </w:r>
      <w:r>
        <w:rPr>
          <w:rFonts w:ascii="Calibri" w:hAnsi="Calibri"/>
          <w:b/>
          <w:color w:val="525866"/>
          <w:sz w:val="22"/>
        </w:rPr>
        <w:t xml:space="preserve">→ Read-through: </w:t>
      </w:r>
      <w:r>
        <w:rPr>
          <w:rFonts w:ascii="Calibri" w:hAnsi="Calibri"/>
          <w:color w:val="525866"/>
          <w:sz w:val="22"/>
        </w:rPr>
        <w:t>Mirrors BEN’s own ~$283B alternatives AUM with ~80% currently fee-earning (vs. ~90% potential). The dry powder conversion dynamic is a shared industry tailwind for management fee growth.</w:t>
      </w:r>
    </w:p>
    <w:p>
      <w:pPr>
        <w:pStyle w:val="ListBullet"/>
        <w:ind w:left="360" w:hanging="360"/>
      </w:pPr>
      <w:r>
        <w:rPr>
          <w:rFonts w:ascii="Calibri" w:hAnsi="Calibri"/>
          <w:b/>
          <w:color w:val="525866"/>
          <w:sz w:val="22"/>
        </w:rPr>
        <w:t xml:space="preserve">Private investment grade demand accelerating: </w:t>
      </w:r>
      <w:r>
        <w:rPr>
          <w:rFonts w:ascii="Calibri" w:hAnsi="Calibri"/>
          <w:color w:val="525866"/>
          <w:sz w:val="22"/>
        </w:rPr>
        <w:t xml:space="preserve">KKR sees "increased demand in private investment grade" and expects "a record third-party credit fundraising year." The addressable market in credit is estimated at "$45 trillion." </w:t>
      </w:r>
      <w:r>
        <w:rPr>
          <w:rFonts w:ascii="Calibri" w:hAnsi="Calibri"/>
          <w:b/>
          <w:color w:val="525866"/>
          <w:sz w:val="22"/>
        </w:rPr>
        <w:t xml:space="preserve">→ Read-through: </w:t>
      </w:r>
      <w:r>
        <w:rPr>
          <w:rFonts w:ascii="Calibri" w:hAnsi="Calibri"/>
          <w:color w:val="525866"/>
          <w:sz w:val="22"/>
        </w:rPr>
        <w:t>Positive for BEN’s fixed income and alternative credit fundraising, particularly as Western Asset headwinds recede.</w:t>
      </w:r>
    </w:p>
    <w:p>
      <w:pPr>
        <w:pStyle w:val="ListBullet"/>
        <w:ind w:left="360" w:hanging="360"/>
      </w:pPr>
      <w:r>
        <w:rPr>
          <w:rFonts w:ascii="Calibri" w:hAnsi="Calibri"/>
          <w:b/>
          <w:color w:val="525866"/>
          <w:sz w:val="22"/>
        </w:rPr>
        <w:t xml:space="preserve">Q3 monetization visibility of ~$700M: </w:t>
      </w:r>
      <w:r>
        <w:rPr>
          <w:rFonts w:ascii="Calibri" w:hAnsi="Calibri"/>
          <w:color w:val="525866"/>
          <w:sz w:val="22"/>
        </w:rPr>
        <w:t xml:space="preserve">KKR has "plus or minus $700M of monetization-related visibility" for Q3, split ~80% realized performance revenue and ~20% realized investment income. </w:t>
      </w:r>
      <w:r>
        <w:rPr>
          <w:rFonts w:ascii="Calibri" w:hAnsi="Calibri"/>
          <w:b/>
          <w:color w:val="525866"/>
          <w:sz w:val="22"/>
        </w:rPr>
        <w:t xml:space="preserve">→ Read-through: </w:t>
      </w:r>
      <w:r>
        <w:rPr>
          <w:rFonts w:ascii="Calibri" w:hAnsi="Calibri"/>
          <w:color w:val="525866"/>
          <w:sz w:val="22"/>
        </w:rPr>
        <w:t>Suggests the broader alternatives industry is generating moderate but not exceptional performance fees in Q3, consistent with BEN’s $50M assumed performance fee guidance.</w:t>
      </w:r>
    </w:p>
    <w:p>
      <w:pPr>
        <w:pStyle w:val="Heading2"/>
      </w:pPr>
      <w:r>
        <w:rPr>
          <w:rFonts w:ascii="Calibri" w:hAnsi="Calibri"/>
          <w:b/>
          <w:color w:val="3B4259"/>
          <w:sz w:val="28"/>
        </w:rPr>
        <w:t>Blue Owl Capital (OWL) — Q2 2026 Earnings Call, July 30, 2026</w:t>
      </w:r>
    </w:p>
    <w:p>
      <w:r>
        <w:rPr>
          <w:rFonts w:ascii="Calibri" w:hAnsi="Calibri"/>
          <w:b/>
          <w:color w:val="525866"/>
          <w:sz w:val="22"/>
        </w:rPr>
        <w:t xml:space="preserve">Relevance to BEN: </w:t>
      </w:r>
      <w:r>
        <w:rPr>
          <w:rFonts w:ascii="Calibri" w:hAnsi="Calibri"/>
          <w:color w:val="525866"/>
          <w:sz w:val="22"/>
        </w:rPr>
        <w:t>OWL’s commentary on evergreen inflow recovery, wealth channel durability, and institutional fundraising momentum is a direct read-through for BEN’s alternatives and wealth channel businesses.</w:t>
      </w:r>
    </w:p>
    <w:p>
      <w:pPr>
        <w:pStyle w:val="ListBullet"/>
        <w:ind w:left="360" w:hanging="360"/>
      </w:pPr>
      <w:r>
        <w:rPr>
          <w:rFonts w:ascii="Calibri" w:hAnsi="Calibri"/>
          <w:b/>
          <w:color w:val="525866"/>
          <w:sz w:val="22"/>
        </w:rPr>
        <w:t xml:space="preserve">Evergreen inflows bottoming and recovering: </w:t>
      </w:r>
      <w:r>
        <w:rPr>
          <w:rFonts w:ascii="Calibri" w:hAnsi="Calibri"/>
          <w:color w:val="525866"/>
          <w:sz w:val="22"/>
        </w:rPr>
        <w:t xml:space="preserve">"We believe we have seen a bottoming of evergreen inflows in the May 1st close." For the July 1st close, OWL saw "a greater than 50% increase in evergreen inflows versus that May 1st close." </w:t>
      </w:r>
      <w:r>
        <w:rPr>
          <w:rFonts w:ascii="Calibri" w:hAnsi="Calibri"/>
          <w:b/>
          <w:color w:val="525866"/>
          <w:sz w:val="22"/>
        </w:rPr>
        <w:t xml:space="preserve">→ Read-through: </w:t>
      </w:r>
      <w:r>
        <w:rPr>
          <w:rFonts w:ascii="Calibri" w:hAnsi="Calibri"/>
          <w:color w:val="525866"/>
          <w:sz w:val="22"/>
        </w:rPr>
        <w:t>Strongly positive for BEN’s Canvas and evergreen product flows in Q3. The industry-wide evergreen recovery is accelerating, supporting BEN’s ~$200M/month evergreen fundraising run rate.</w:t>
      </w:r>
    </w:p>
    <w:p>
      <w:pPr>
        <w:pStyle w:val="ListBullet"/>
        <w:ind w:left="360" w:hanging="360"/>
      </w:pPr>
      <w:r>
        <w:rPr>
          <w:rFonts w:ascii="Calibri" w:hAnsi="Calibri"/>
          <w:b/>
          <w:color w:val="525866"/>
          <w:sz w:val="22"/>
        </w:rPr>
        <w:t xml:space="preserve">Non-traded BDC redemptions declining: </w:t>
      </w:r>
      <w:r>
        <w:rPr>
          <w:rFonts w:ascii="Calibri" w:hAnsi="Calibri"/>
          <w:color w:val="525866"/>
          <w:sz w:val="22"/>
        </w:rPr>
        <w:t xml:space="preserve">OWL saw "a modest reduction in redemption requests in Q2" for non-traded BDCs and is "cautiously optimistic that non-traded BDC redemptions will keep coming down." </w:t>
      </w:r>
      <w:r>
        <w:rPr>
          <w:rFonts w:ascii="Calibri" w:hAnsi="Calibri"/>
          <w:b/>
          <w:color w:val="525866"/>
          <w:sz w:val="22"/>
        </w:rPr>
        <w:t xml:space="preserve">→ Read-through: </w:t>
      </w:r>
      <w:r>
        <w:rPr>
          <w:rFonts w:ascii="Calibri" w:hAnsi="Calibri"/>
          <w:color w:val="525866"/>
          <w:sz w:val="22"/>
        </w:rPr>
        <w:t>Reduced redemption pressure across wealth channel products is a positive backdrop for BEN’s alternatives AUM stability.</w:t>
      </w:r>
    </w:p>
    <w:p>
      <w:pPr>
        <w:pStyle w:val="ListBullet"/>
        <w:ind w:left="360" w:hanging="360"/>
      </w:pPr>
      <w:r>
        <w:rPr>
          <w:rFonts w:ascii="Calibri" w:hAnsi="Calibri"/>
          <w:b/>
          <w:color w:val="525866"/>
          <w:sz w:val="22"/>
        </w:rPr>
        <w:t xml:space="preserve">Institutional fundraising expected to remain strong in H2: </w:t>
      </w:r>
      <w:r>
        <w:rPr>
          <w:rFonts w:ascii="Calibri" w:hAnsi="Calibri"/>
          <w:color w:val="525866"/>
          <w:sz w:val="22"/>
        </w:rPr>
        <w:t xml:space="preserve">"Given the number of drawdown funds we have in market this year, we expect institutional fundraising to remain strong in the second half of the year." OWL believes "fundraising for the second half could be better than the first half." </w:t>
      </w:r>
      <w:r>
        <w:rPr>
          <w:rFonts w:ascii="Calibri" w:hAnsi="Calibri"/>
          <w:b/>
          <w:color w:val="525866"/>
          <w:sz w:val="22"/>
        </w:rPr>
        <w:t xml:space="preserve">→ Read-through: </w:t>
      </w:r>
      <w:r>
        <w:rPr>
          <w:rFonts w:ascii="Calibri" w:hAnsi="Calibri"/>
          <w:color w:val="525866"/>
          <w:sz w:val="22"/>
        </w:rPr>
        <w:t>Validates BEN’s expectation to exceed its $30B+ private markets fundraising target, with Lexington’s flagship fund and other vehicles still in market.</w:t>
      </w:r>
    </w:p>
    <w:p>
      <w:pPr>
        <w:pStyle w:val="ListBullet"/>
        <w:ind w:left="360" w:hanging="360"/>
      </w:pPr>
      <w:r>
        <w:rPr>
          <w:rFonts w:ascii="Calibri" w:hAnsi="Calibri"/>
          <w:b/>
          <w:color w:val="525866"/>
          <w:sz w:val="22"/>
        </w:rPr>
        <w:t xml:space="preserve">Management fee growth visibility for next 2 quarters: </w:t>
      </w:r>
      <w:r>
        <w:rPr>
          <w:rFonts w:ascii="Calibri" w:hAnsi="Calibri"/>
          <w:color w:val="525866"/>
          <w:sz w:val="22"/>
        </w:rPr>
        <w:t xml:space="preserve">OWL has "visibility into the next quarter or two where we do see management fee growth building each of the next two quarters." </w:t>
      </w:r>
      <w:r>
        <w:rPr>
          <w:rFonts w:ascii="Calibri" w:hAnsi="Calibri"/>
          <w:b/>
          <w:color w:val="525866"/>
          <w:sz w:val="22"/>
        </w:rPr>
        <w:t xml:space="preserve">→ Read-through: </w:t>
      </w:r>
      <w:r>
        <w:rPr>
          <w:rFonts w:ascii="Calibri" w:hAnsi="Calibri"/>
          <w:color w:val="525866"/>
          <w:sz w:val="22"/>
        </w:rPr>
        <w:t>Consistent with BEN’s own dry powder conversion narrative — the ~10% gap between fee-earning AUM (80%) and fee-eligible AUM (90%) represents a built-in management fee growth driver.</w:t>
      </w:r>
    </w:p>
    <w:p>
      <w:pPr>
        <w:pStyle w:val="Heading2"/>
      </w:pPr>
      <w:r>
        <w:rPr>
          <w:rFonts w:ascii="Calibri" w:hAnsi="Calibri"/>
          <w:b/>
          <w:color w:val="3B4259"/>
          <w:sz w:val="28"/>
        </w:rPr>
        <w:t>BlackRock (BLK) — Q2 2026 Earnings Call, July 15, 2026</w:t>
      </w:r>
    </w:p>
    <w:p>
      <w:r>
        <w:rPr>
          <w:rFonts w:ascii="Calibri" w:hAnsi="Calibri"/>
          <w:b/>
          <w:color w:val="525866"/>
          <w:sz w:val="22"/>
        </w:rPr>
        <w:t xml:space="preserve">Relevance to BEN: </w:t>
      </w:r>
      <w:r>
        <w:rPr>
          <w:rFonts w:ascii="Calibri" w:hAnsi="Calibri"/>
          <w:color w:val="525866"/>
          <w:sz w:val="22"/>
        </w:rPr>
        <w:t>BLK’s commentary on digital assets strategy, ETF momentum, and private markets demand is relevant given BEN’s Franklin Crypto acquisition and ETF/Canvas growth initiatives.</w:t>
      </w:r>
    </w:p>
    <w:p>
      <w:pPr>
        <w:pStyle w:val="ListBullet"/>
        <w:ind w:left="360" w:hanging="360"/>
      </w:pPr>
      <w:r>
        <w:rPr>
          <w:rFonts w:ascii="Calibri" w:hAnsi="Calibri"/>
          <w:b/>
          <w:color w:val="525866"/>
          <w:sz w:val="22"/>
        </w:rPr>
        <w:t xml:space="preserve">Digital assets operating environment “more and more constructive”: </w:t>
      </w:r>
      <w:r>
        <w:rPr>
          <w:rFonts w:ascii="Calibri" w:hAnsi="Calibri"/>
          <w:color w:val="525866"/>
          <w:sz w:val="22"/>
        </w:rPr>
        <w:t xml:space="preserve">BLK views the digital assets environment as increasingly favorable and is "aiming to make this a $500M revenue business" by 2030. BLK recently filed two registration statements for tokenized money market funds. </w:t>
      </w:r>
      <w:r>
        <w:rPr>
          <w:rFonts w:ascii="Calibri" w:hAnsi="Calibri"/>
          <w:b/>
          <w:color w:val="525866"/>
          <w:sz w:val="22"/>
        </w:rPr>
        <w:t xml:space="preserve">→ Read-through: </w:t>
      </w:r>
      <w:r>
        <w:rPr>
          <w:rFonts w:ascii="Calibri" w:hAnsi="Calibri"/>
          <w:color w:val="525866"/>
          <w:sz w:val="22"/>
        </w:rPr>
        <w:t>Validates BEN’s strategic rationale for the Franklin Crypto / 250 Digital acquisition. The regulatory and market environment for tokenized products is improving, supporting BEN’s BENJI tokenized fund and digital assets expansion.</w:t>
      </w:r>
    </w:p>
    <w:p>
      <w:pPr>
        <w:pStyle w:val="ListBullet"/>
        <w:ind w:left="360" w:hanging="360"/>
      </w:pPr>
      <w:r>
        <w:rPr>
          <w:rFonts w:ascii="Calibri" w:hAnsi="Calibri"/>
          <w:b/>
          <w:color w:val="525866"/>
          <w:sz w:val="22"/>
        </w:rPr>
        <w:t xml:space="preserve">Tax-aware investing as next growth category: </w:t>
      </w:r>
      <w:r>
        <w:rPr>
          <w:rFonts w:ascii="Calibri" w:hAnsi="Calibri"/>
          <w:color w:val="525866"/>
          <w:sz w:val="22"/>
        </w:rPr>
        <w:t xml:space="preserve">BLK identifies "long/short strategies optimized for tax" as "the next category of growth and tax-aware investing" and "one of the key structural growth engines in our 2030 plan." </w:t>
      </w:r>
      <w:r>
        <w:rPr>
          <w:rFonts w:ascii="Calibri" w:hAnsi="Calibri"/>
          <w:b/>
          <w:color w:val="525866"/>
          <w:sz w:val="22"/>
        </w:rPr>
        <w:t xml:space="preserve">→ Read-through: </w:t>
      </w:r>
      <w:r>
        <w:rPr>
          <w:rFonts w:ascii="Calibri" w:hAnsi="Calibri"/>
          <w:color w:val="525866"/>
          <w:sz w:val="22"/>
        </w:rPr>
        <w:t>Directly validates BEN’s Canvas platform thesis. Canvas’s tax optimization and direct indexing capabilities are positioned at the center of this secular trend, supporting the platform’s continued AUM doubling trajectory.</w:t>
      </w:r>
    </w:p>
    <w:p>
      <w:pPr>
        <w:pStyle w:val="ListBullet"/>
        <w:ind w:left="360" w:hanging="360"/>
      </w:pPr>
      <w:r>
        <w:rPr>
          <w:rFonts w:ascii="Calibri" w:hAnsi="Calibri"/>
          <w:b/>
          <w:color w:val="525866"/>
          <w:sz w:val="22"/>
        </w:rPr>
        <w:t xml:space="preserve">Private markets demand accelerating globally: </w:t>
      </w:r>
      <w:r>
        <w:rPr>
          <w:rFonts w:ascii="Calibri" w:hAnsi="Calibri"/>
          <w:color w:val="525866"/>
          <w:sz w:val="22"/>
        </w:rPr>
        <w:t xml:space="preserve">BLK expects private markets demand to "continue to accelerate, not just for insurance companies, but throughout the world." The "J-curve for infrastructure investing is really only just starting to accelerate." </w:t>
      </w:r>
      <w:r>
        <w:rPr>
          <w:rFonts w:ascii="Calibri" w:hAnsi="Calibri"/>
          <w:b/>
          <w:color w:val="525866"/>
          <w:sz w:val="22"/>
        </w:rPr>
        <w:t xml:space="preserve">→ Read-through: </w:t>
      </w:r>
      <w:r>
        <w:rPr>
          <w:rFonts w:ascii="Calibri" w:hAnsi="Calibri"/>
          <w:color w:val="525866"/>
          <w:sz w:val="22"/>
        </w:rPr>
        <w:t>Positive for BEN’s alternatives fundraising across infrastructure, private credit, and real estate strategies.</w:t>
      </w:r>
    </w:p>
    <w:p>
      <w:pPr>
        <w:pStyle w:val="ListBullet"/>
        <w:ind w:left="360" w:hanging="360"/>
      </w:pPr>
      <w:r>
        <w:rPr>
          <w:rFonts w:ascii="Calibri" w:hAnsi="Calibri"/>
          <w:b/>
          <w:color w:val="525866"/>
          <w:sz w:val="22"/>
        </w:rPr>
        <w:t xml:space="preserve">ETF growth in Europe accelerating: </w:t>
      </w:r>
      <w:r>
        <w:rPr>
          <w:rFonts w:ascii="Calibri" w:hAnsi="Calibri"/>
          <w:color w:val="525866"/>
          <w:sz w:val="22"/>
        </w:rPr>
        <w:t xml:space="preserve">BLK notes European ETF growth is "experiencing the same type of curve that the US did, maybe 5 to 8 years later." BLK is "the most well-positioned firm in Europe to take flow as more individual investors move towards capital markets." </w:t>
      </w:r>
      <w:r>
        <w:rPr>
          <w:rFonts w:ascii="Calibri" w:hAnsi="Calibri"/>
          <w:b/>
          <w:color w:val="525866"/>
          <w:sz w:val="22"/>
        </w:rPr>
        <w:t xml:space="preserve">→ Read-through: </w:t>
      </w:r>
      <w:r>
        <w:rPr>
          <w:rFonts w:ascii="Calibri" w:hAnsi="Calibri"/>
          <w:color w:val="525866"/>
          <w:sz w:val="22"/>
        </w:rPr>
        <w:t>Positive for BEN’s international ETF flows, which contributed to its record gross sales and positive long-term net flows in every region in Q2.</w:t>
      </w:r>
    </w:p>
    <w:p>
      <w:pPr>
        <w:pStyle w:val="Heading2"/>
      </w:pPr>
      <w:r>
        <w:rPr>
          <w:rFonts w:ascii="Calibri" w:hAnsi="Calibri"/>
          <w:b/>
          <w:color w:val="3B4259"/>
          <w:sz w:val="28"/>
        </w:rPr>
        <w:t>Invesco (IVZ) — Q2 2026 Earnings Call, July 28, 2026</w:t>
      </w:r>
    </w:p>
    <w:p>
      <w:r>
        <w:rPr>
          <w:rFonts w:ascii="Calibri" w:hAnsi="Calibri"/>
          <w:b/>
          <w:color w:val="525866"/>
          <w:sz w:val="22"/>
        </w:rPr>
        <w:t xml:space="preserve">Relevance to BEN: </w:t>
      </w:r>
      <w:r>
        <w:rPr>
          <w:rFonts w:ascii="Calibri" w:hAnsi="Calibri"/>
          <w:color w:val="525866"/>
          <w:sz w:val="22"/>
        </w:rPr>
        <w:t>IVZ is BEN’s closest traditional active management peer and its commentary on margins, ETF competition, and SMA growth is directly comparable.</w:t>
      </w:r>
    </w:p>
    <w:p>
      <w:pPr>
        <w:pStyle w:val="ListBullet"/>
        <w:ind w:left="360" w:hanging="360"/>
      </w:pPr>
      <w:r>
        <w:rPr>
          <w:rFonts w:ascii="Calibri" w:hAnsi="Calibri"/>
          <w:b/>
          <w:color w:val="525866"/>
          <w:sz w:val="22"/>
        </w:rPr>
        <w:t xml:space="preserve">Operating margin target in high 30s: </w:t>
      </w:r>
      <w:r>
        <w:rPr>
          <w:rFonts w:ascii="Calibri" w:hAnsi="Calibri"/>
          <w:color w:val="525866"/>
          <w:sz w:val="22"/>
        </w:rPr>
        <w:t xml:space="preserve">IVZ’s near-to-medium term operating margin target is to "continue expanding and consistently deliver in the high 30s." </w:t>
      </w:r>
      <w:r>
        <w:rPr>
          <w:rFonts w:ascii="Calibri" w:hAnsi="Calibri"/>
          <w:b/>
          <w:color w:val="525866"/>
          <w:sz w:val="22"/>
        </w:rPr>
        <w:t xml:space="preserve">→ Read-through: </w:t>
      </w:r>
      <w:r>
        <w:rPr>
          <w:rFonts w:ascii="Calibri" w:hAnsi="Calibri"/>
          <w:color w:val="525866"/>
          <w:sz w:val="22"/>
        </w:rPr>
        <w:t>Highlights BEN’s margin gap vs. peers — BEN is targeting high 27s for FY26 and 30%+ for FY27, still below IVZ’s target range. Confirms the margin expansion story is a multi-year re-rating catalyst for BEN.</w:t>
      </w:r>
    </w:p>
    <w:p>
      <w:pPr>
        <w:pStyle w:val="ListBullet"/>
        <w:ind w:left="360" w:hanging="360"/>
      </w:pPr>
      <w:r>
        <w:rPr>
          <w:rFonts w:ascii="Calibri" w:hAnsi="Calibri"/>
          <w:b/>
          <w:color w:val="525866"/>
          <w:sz w:val="22"/>
        </w:rPr>
        <w:t xml:space="preserve">SMA and active ETF growth continuing: </w:t>
      </w:r>
      <w:r>
        <w:rPr>
          <w:rFonts w:ascii="Calibri" w:hAnsi="Calibri"/>
          <w:color w:val="525866"/>
          <w:sz w:val="22"/>
        </w:rPr>
        <w:t xml:space="preserve">IVZ expects "continued growth in the retail SMA space" and is "gaining traction in active ETFs." Two new Active Premium Income ETF strategies were launched in late July. </w:t>
      </w:r>
      <w:r>
        <w:rPr>
          <w:rFonts w:ascii="Calibri" w:hAnsi="Calibri"/>
          <w:b/>
          <w:color w:val="525866"/>
          <w:sz w:val="22"/>
        </w:rPr>
        <w:t xml:space="preserve">→ Read-through: </w:t>
      </w:r>
      <w:r>
        <w:rPr>
          <w:rFonts w:ascii="Calibri" w:hAnsi="Calibri"/>
          <w:color w:val="525866"/>
          <w:sz w:val="22"/>
        </w:rPr>
        <w:t>Validates BEN’s Canvas and ETF growth strategy. The SMA/active ETF secular trend is industry-wide and BEN’s 18 consecutive quarters of positive ETF flows and Canvas’s record AUM confirm it is capturing share.</w:t>
      </w:r>
    </w:p>
    <w:p>
      <w:pPr>
        <w:pStyle w:val="ListBullet"/>
        <w:ind w:left="360" w:hanging="360"/>
      </w:pPr>
      <w:r>
        <w:rPr>
          <w:rFonts w:ascii="Calibri" w:hAnsi="Calibri"/>
          <w:b/>
          <w:color w:val="525866"/>
          <w:sz w:val="22"/>
        </w:rPr>
        <w:t xml:space="preserve">Compensation-to-revenue ratio ~40% for FY26: </w:t>
      </w:r>
      <w:r>
        <w:rPr>
          <w:rFonts w:ascii="Calibri" w:hAnsi="Calibri"/>
          <w:color w:val="525866"/>
          <w:sz w:val="22"/>
        </w:rPr>
        <w:t xml:space="preserve">IVZ expects its comp-to-revenue ratio to be "largely in the 40% range" for FY26, with the ratio typically tapering in H2. </w:t>
      </w:r>
      <w:r>
        <w:rPr>
          <w:rFonts w:ascii="Calibri" w:hAnsi="Calibri"/>
          <w:b/>
          <w:color w:val="525866"/>
          <w:sz w:val="22"/>
        </w:rPr>
        <w:t xml:space="preserve">→ Read-through: </w:t>
      </w:r>
      <w:r>
        <w:rPr>
          <w:rFonts w:ascii="Calibri" w:hAnsi="Calibri"/>
          <w:color w:val="525866"/>
          <w:sz w:val="22"/>
        </w:rPr>
        <w:t>Provides a peer benchmark for BEN’s own compensation guidance of $830M for Q3 (assuming $50M performance fees). Seasonal tapering in H2 is consistent across the industry.</w:t>
      </w:r>
    </w:p>
    <w:p>
      <w:pPr>
        <w:pStyle w:val="Heading2"/>
      </w:pPr>
      <w:r>
        <w:rPr>
          <w:rFonts w:ascii="Calibri" w:hAnsi="Calibri"/>
          <w:b/>
          <w:color w:val="3B4259"/>
          <w:sz w:val="28"/>
        </w:rPr>
        <w:t>Ameriprise Financial (AMP) — Q2 2026 Earnings Call, July 23, 2026</w:t>
      </w:r>
    </w:p>
    <w:p>
      <w:r>
        <w:rPr>
          <w:rFonts w:ascii="Calibri" w:hAnsi="Calibri"/>
          <w:b/>
          <w:color w:val="525866"/>
          <w:sz w:val="22"/>
        </w:rPr>
        <w:t xml:space="preserve">Relevance to BEN: </w:t>
      </w:r>
      <w:r>
        <w:rPr>
          <w:rFonts w:ascii="Calibri" w:hAnsi="Calibri"/>
          <w:color w:val="525866"/>
          <w:sz w:val="22"/>
        </w:rPr>
        <w:t>AMP’s commentary on wealth channel advisor productivity, active ETF/SMA demand, and the competitive landscape for distribution is relevant for BEN’s Canvas and wealth channel strategy.</w:t>
      </w:r>
    </w:p>
    <w:p>
      <w:pPr>
        <w:pStyle w:val="ListBullet"/>
        <w:ind w:left="360" w:hanging="360"/>
      </w:pPr>
      <w:r>
        <w:rPr>
          <w:rFonts w:ascii="Calibri" w:hAnsi="Calibri"/>
          <w:b/>
          <w:color w:val="525866"/>
          <w:sz w:val="22"/>
        </w:rPr>
        <w:t xml:space="preserve">Advisor recruiting pipeline “even stronger” in Q3: </w:t>
      </w:r>
      <w:r>
        <w:rPr>
          <w:rFonts w:ascii="Calibri" w:hAnsi="Calibri"/>
          <w:color w:val="525866"/>
          <w:sz w:val="22"/>
        </w:rPr>
        <w:t xml:space="preserve">AMP’s recruiting pipeline "increased nicely from Q1 to Q2" and "the third quarter looks even stronger." Practice additions in July already totaled $900M, above the $800M announced in Q2. </w:t>
      </w:r>
      <w:r>
        <w:rPr>
          <w:rFonts w:ascii="Calibri" w:hAnsi="Calibri"/>
          <w:b/>
          <w:color w:val="525866"/>
          <w:sz w:val="22"/>
        </w:rPr>
        <w:t xml:space="preserve">→ Read-through: </w:t>
      </w:r>
      <w:r>
        <w:rPr>
          <w:rFonts w:ascii="Calibri" w:hAnsi="Calibri"/>
          <w:color w:val="525866"/>
          <w:sz w:val="22"/>
        </w:rPr>
        <w:t>A growing advisor base across the wealth management industry expands the distribution channel for BEN’s Canvas, SMA, and ETF products.</w:t>
      </w:r>
    </w:p>
    <w:p>
      <w:pPr>
        <w:pStyle w:val="ListBullet"/>
        <w:ind w:left="360" w:hanging="360"/>
      </w:pPr>
      <w:r>
        <w:rPr>
          <w:rFonts w:ascii="Calibri" w:hAnsi="Calibri"/>
          <w:b/>
          <w:color w:val="525866"/>
          <w:sz w:val="22"/>
        </w:rPr>
        <w:t xml:space="preserve">Elevated cash balances in money market funds: </w:t>
      </w:r>
      <w:r>
        <w:rPr>
          <w:rFonts w:ascii="Calibri" w:hAnsi="Calibri"/>
          <w:color w:val="525866"/>
          <w:sz w:val="22"/>
        </w:rPr>
        <w:t xml:space="preserve">AMP holds "$46.6 billion in third-party money market funds" and views this as "an important opportunity when rates decline to see these cash balances deployed into other products." </w:t>
      </w:r>
      <w:r>
        <w:rPr>
          <w:rFonts w:ascii="Calibri" w:hAnsi="Calibri"/>
          <w:b/>
          <w:color w:val="525866"/>
          <w:sz w:val="22"/>
        </w:rPr>
        <w:t xml:space="preserve">→ Read-through: </w:t>
      </w:r>
      <w:r>
        <w:rPr>
          <w:rFonts w:ascii="Calibri" w:hAnsi="Calibri"/>
          <w:color w:val="525866"/>
          <w:sz w:val="22"/>
        </w:rPr>
        <w:t>A potential rate-cut catalyst for BEN’s fixed income and multi-asset flows as cash rotates into longer-duration products.</w:t>
      </w:r>
    </w:p>
    <w:p>
      <w:pPr>
        <w:pStyle w:val="ListBullet"/>
        <w:ind w:left="360" w:hanging="360"/>
      </w:pPr>
      <w:r>
        <w:rPr>
          <w:rFonts w:ascii="Calibri" w:hAnsi="Calibri"/>
          <w:b/>
          <w:color w:val="525866"/>
          <w:sz w:val="22"/>
        </w:rPr>
        <w:t xml:space="preserve">Asset management back-office transformation completing Q3: </w:t>
      </w:r>
      <w:r>
        <w:rPr>
          <w:rFonts w:ascii="Calibri" w:hAnsi="Calibri"/>
          <w:color w:val="525866"/>
          <w:sz w:val="22"/>
        </w:rPr>
        <w:t xml:space="preserve">AMP’s back-office transformation in asset management is "on track to be finalized at the end of Q3," expected to bring "further efficiency and savings." </w:t>
      </w:r>
      <w:r>
        <w:rPr>
          <w:rFonts w:ascii="Calibri" w:hAnsi="Calibri"/>
          <w:b/>
          <w:color w:val="525866"/>
          <w:sz w:val="22"/>
        </w:rPr>
        <w:t xml:space="preserve">→ Read-through: </w:t>
      </w:r>
      <w:r>
        <w:rPr>
          <w:rFonts w:ascii="Calibri" w:hAnsi="Calibri"/>
          <w:color w:val="525866"/>
          <w:sz w:val="22"/>
        </w:rPr>
        <w:t>Industry-wide cost transformation is ongoing; validates BEN’s own voluntary buyout program and AI-driven efficiency initiatives as part of a broader sector trend.</w:t>
      </w:r>
    </w:p>
    <w:p>
      <w:r>
        <w:br w:type="page"/>
      </w:r>
    </w:p>
    <w:p>
      <w:pPr>
        <w:pStyle w:val="Heading1"/>
        <w:pBdr>
          <w:bottom w:val="single" w:sz="4" w:space="1" w:color="FB9120"/>
        </w:pBdr>
      </w:pPr>
      <w:r>
        <w:rPr>
          <w:rFonts w:ascii="Calibri" w:hAnsi="Calibri"/>
          <w:b/>
          <w:color w:val="3B4259"/>
          <w:sz w:val="40"/>
        </w:rPr>
        <w:t>7. Material News &amp; Developments</w:t>
      </w:r>
    </w:p>
    <w:p>
      <w:r>
        <w:rPr>
          <w:rFonts w:ascii="Calibri" w:hAnsi="Calibri"/>
          <w:b/>
          <w:color w:val="525866"/>
          <w:sz w:val="22"/>
        </w:rPr>
        <w:t xml:space="preserve">Key Takeaway: </w:t>
      </w:r>
      <w:r>
        <w:rPr>
          <w:rFonts w:ascii="Calibri" w:hAnsi="Calibri"/>
          <w:color w:val="525866"/>
          <w:sz w:val="22"/>
        </w:rPr>
        <w:t>The most important development since the April 28 earnings call is the $60M retention equity award package granted to four senior executives on July 21 — a strong signal of leadership stability and strategic commitment to the private markets and margin expansion plan, but also a one-time compensation cost that investors should model carefully. The credit facility extension on July 30 is a minor positive for financial flexibility.</w:t>
      </w:r>
    </w:p>
    <w:p>
      <w:pPr>
        <w:pStyle w:val="ListBullet"/>
        <w:ind w:left="360" w:hanging="360"/>
      </w:pPr>
      <w:r>
        <w:rPr>
          <w:rFonts w:ascii="Calibri" w:hAnsi="Calibri"/>
          <w:b/>
          <w:color w:val="525866"/>
          <w:sz w:val="22"/>
        </w:rPr>
        <w:t xml:space="preserve">July 30, 2026 — Credit Facility Extended to 2031 (8-K): </w:t>
      </w:r>
      <w:r>
        <w:rPr>
          <w:rFonts w:ascii="Calibri" w:hAnsi="Calibri"/>
          <w:color w:val="525866"/>
          <w:sz w:val="22"/>
        </w:rPr>
        <w:t xml:space="preserve">BEN entered into a Second Amended and Restated Credit Agreement, extending its $1.5B revolving credit facility maturity from April 2030 to July 2031, with an option to increase commitments by up to $500M. As of closing, $700M was outstanding. Interest rates are SOFR-based (0.625%–1.25% margin depending on Debt Rating). </w:t>
      </w:r>
      <w:r>
        <w:rPr>
          <w:rFonts w:ascii="Calibri" w:hAnsi="Calibri"/>
          <w:b/>
          <w:color w:val="525866"/>
          <w:sz w:val="22"/>
        </w:rPr>
        <w:t xml:space="preserve">Implication: </w:t>
      </w:r>
      <w:r>
        <w:rPr>
          <w:rFonts w:ascii="Calibri" w:hAnsi="Calibri"/>
          <w:color w:val="525866"/>
          <w:sz w:val="22"/>
        </w:rPr>
        <w:t>Minor positive — demonstrates continued access to capital markets and extends financial flexibility heading into the fiscal year-end quarter. The $700M outstanding balance and 3.25x net leverage covenant are worth monitoring given BEN’s ongoing seed capital and co-investment commitments (~$2.9B balance sheet allocation).</w:t>
      </w:r>
    </w:p>
    <w:p>
      <w:pPr>
        <w:pStyle w:val="ListBullet"/>
        <w:ind w:left="360" w:hanging="360"/>
      </w:pPr>
      <w:r>
        <w:rPr>
          <w:rFonts w:ascii="Calibri" w:hAnsi="Calibri"/>
          <w:b/>
          <w:color w:val="525866"/>
          <w:sz w:val="22"/>
        </w:rPr>
        <w:t xml:space="preserve">July 21, 2026 — $60M Retention Equity Awards + Carry Incentives for Senior Executives (8-K): </w:t>
      </w:r>
      <w:r>
        <w:rPr>
          <w:rFonts w:ascii="Calibri" w:hAnsi="Calibri"/>
          <w:color w:val="525866"/>
          <w:sz w:val="22"/>
        </w:rPr>
        <w:t xml:space="preserve">BEN granted one-time special retention equity awards of ~$15M each (grant date fair value) to CEO Jennifer Johnson, Co-Presidents Daniel Gamba, Terrence Murphy, and Matthew Nicholls. Awards are 50% PSUs (3-year cliff vest, FY27–FY29 performance period, tied to operating margin and relative TSR) and 50% RSUs (5-year cliff vest to August 2031). CEO Jennifer Johnson and Executive Chairman Gregory Johnson also received carry interest allocations in flagship private markets funds (5-year vesting). </w:t>
      </w:r>
      <w:r>
        <w:rPr>
          <w:rFonts w:ascii="Calibri" w:hAnsi="Calibri"/>
          <w:b/>
          <w:color w:val="525866"/>
          <w:sz w:val="22"/>
        </w:rPr>
        <w:t xml:space="preserve">Implication: </w:t>
      </w:r>
      <w:r>
        <w:rPr>
          <w:rFonts w:ascii="Calibri" w:hAnsi="Calibri"/>
          <w:color w:val="525866"/>
          <w:sz w:val="22"/>
        </w:rPr>
        <w:t>Strongly positive for leadership stability — the 5-year vesting structure signals the Board’s confidence in the multi-year plan and reduces key-person risk. The PSU performance metrics (operating margin + relative TSR) directly align management with the 30%+ margin target. The carry incentives tie CEO/Executive Chairman compensation to the performance of the private markets platform, reinforcing strategic commitment. One-time cost; not part of regular annual compensation.</w:t>
      </w:r>
    </w:p>
    <w:p>
      <w:pPr>
        <w:pStyle w:val="ListBullet"/>
        <w:ind w:left="360" w:hanging="360"/>
      </w:pPr>
      <w:r>
        <w:rPr>
          <w:rFonts w:ascii="Calibri" w:hAnsi="Calibri"/>
          <w:b/>
          <w:color w:val="525866"/>
          <w:sz w:val="22"/>
        </w:rPr>
        <w:t xml:space="preserve">April 28, 2026 — Franklin Crypto / 250 Digital Acquisition Announced (Q2 Earnings Call): </w:t>
      </w:r>
      <w:r>
        <w:rPr>
          <w:rFonts w:ascii="Calibri" w:hAnsi="Calibri"/>
          <w:color w:val="525866"/>
          <w:sz w:val="22"/>
        </w:rPr>
        <w:t xml:space="preserve">BEN announced plans to acquire 250 Digital, an active cryptocurrency investment management firm, and launch Franklin Crypto. The acquisition combines crypto-native institutional expertise with Franklin Templeton’s global distribution, targeting institutional growth and expanding the digital assets platform. </w:t>
      </w:r>
      <w:r>
        <w:rPr>
          <w:rFonts w:ascii="Calibri" w:hAnsi="Calibri"/>
          <w:b/>
          <w:color w:val="525866"/>
          <w:sz w:val="22"/>
        </w:rPr>
        <w:t xml:space="preserve">Implication: </w:t>
      </w:r>
      <w:r>
        <w:rPr>
          <w:rFonts w:ascii="Calibri" w:hAnsi="Calibri"/>
          <w:color w:val="525866"/>
          <w:sz w:val="22"/>
        </w:rPr>
        <w:t>Strategic positive for the digital assets narrative. Management noted that tokenized product adoption "takes a little time" but early traction in the BENJI product is visible. BLK’s Q2 commentary on the increasingly constructive digital assets regulatory environment validates the strategic timing.</w:t>
      </w:r>
    </w:p>
    <w:p>
      <w:pPr>
        <w:pStyle w:val="ListBullet"/>
        <w:ind w:left="360" w:hanging="360"/>
      </w:pPr>
      <w:r>
        <w:rPr>
          <w:rFonts w:ascii="Calibri" w:hAnsi="Calibri"/>
          <w:b/>
          <w:color w:val="525866"/>
          <w:sz w:val="22"/>
        </w:rPr>
        <w:t xml:space="preserve">April 28, 2026 — Uzbekistan National Investment Fund (UzNIF) Dual Listing Confirmed (Q2 Earnings Call): </w:t>
      </w:r>
      <w:r>
        <w:rPr>
          <w:rFonts w:ascii="Calibri" w:hAnsi="Calibri"/>
          <w:color w:val="525866"/>
          <w:sz w:val="22"/>
        </w:rPr>
        <w:t xml:space="preserve">UzNIF confirmed plans to proceed with a dual listing on the London and Tashkent Stock Exchanges. Franklin Templeton was appointed Trustee and Manager of UzNIF in January 2025. </w:t>
      </w:r>
      <w:r>
        <w:rPr>
          <w:rFonts w:ascii="Calibri" w:hAnsi="Calibri"/>
          <w:b/>
          <w:color w:val="525866"/>
          <w:sz w:val="22"/>
        </w:rPr>
        <w:t xml:space="preserve">Implication: </w:t>
      </w:r>
      <w:r>
        <w:rPr>
          <w:rFonts w:ascii="Calibri" w:hAnsi="Calibri"/>
          <w:color w:val="525866"/>
          <w:sz w:val="22"/>
        </w:rPr>
        <w:t>Incremental positive for BEN’s emerging markets and international institutional business. Demonstrates the breadth of BEN’s global distribution capabilities beyond traditional markets.</w:t>
      </w:r>
    </w:p>
    <w:p>
      <w:pPr>
        <w:pStyle w:val="ListBullet"/>
        <w:ind w:left="360" w:hanging="360"/>
      </w:pPr>
      <w:r>
        <w:rPr>
          <w:rFonts w:ascii="Calibri" w:hAnsi="Calibri"/>
          <w:b/>
          <w:color w:val="525866"/>
          <w:sz w:val="22"/>
        </w:rPr>
        <w:t xml:space="preserve">July 1, 2026 — Q3 Earnings Date Announced: </w:t>
      </w:r>
      <w:r>
        <w:rPr>
          <w:rFonts w:ascii="Calibri" w:hAnsi="Calibri"/>
          <w:color w:val="525866"/>
          <w:sz w:val="22"/>
        </w:rPr>
        <w:t xml:space="preserve">BEN announced fiscal Q3 2026 results will be released July 31, 2026. No pre-announcement or guidance update was issued alongside this announcement. </w:t>
      </w:r>
      <w:r>
        <w:rPr>
          <w:rFonts w:ascii="Calibri" w:hAnsi="Calibri"/>
          <w:b/>
          <w:color w:val="525866"/>
          <w:sz w:val="22"/>
        </w:rPr>
        <w:t xml:space="preserve">Implication: </w:t>
      </w:r>
      <w:r>
        <w:rPr>
          <w:rFonts w:ascii="Calibri" w:hAnsi="Calibri"/>
          <w:color w:val="525866"/>
          <w:sz w:val="22"/>
        </w:rPr>
        <w:t>The absence of any pre-announcement is a mild positive — management had no need to warn on flows or margins ahead of the print.</w:t>
      </w:r>
    </w:p>
    <w:p>
      <w:r>
        <w:br w:type="page"/>
      </w:r>
    </w:p>
    <w:p>
      <w:pPr>
        <w:pStyle w:val="Heading1"/>
        <w:pBdr>
          <w:bottom w:val="single" w:sz="4" w:space="1" w:color="FB9120"/>
        </w:pBdr>
      </w:pPr>
      <w:r>
        <w:rPr>
          <w:rFonts w:ascii="Calibri" w:hAnsi="Calibri"/>
          <w:b/>
          <w:color w:val="3B4259"/>
          <w:sz w:val="40"/>
        </w:rPr>
        <w:t>8. Insider Transaction Activity</w:t>
      </w:r>
    </w:p>
    <w:p>
      <w:r>
        <w:rPr>
          <w:rFonts w:ascii="Calibri" w:hAnsi="Calibri"/>
          <w:b/>
          <w:color w:val="525866"/>
          <w:sz w:val="22"/>
        </w:rPr>
        <w:t xml:space="preserve">Key Takeaway: </w:t>
      </w:r>
      <w:r>
        <w:rPr>
          <w:rFonts w:ascii="Calibri" w:hAnsi="Calibri"/>
          <w:color w:val="525866"/>
          <w:sz w:val="22"/>
        </w:rPr>
        <w:t>The only Form 4 transaction filed in the last 60 days is a large open-market sale by Clarion Partners Real Estate Income Fund Inc. (an affiliate of an investment adviser), not a direct insider sale by a named executive. There are no open-market purchases or discretionary sales by named officers or directors in the window — the absence of insider buying at current prices is worth noting given the stock’s 13% run since the last earnings date, but the $60M retention equity awards granted July 21 signal strong management commitment to the long-term plan.</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Shares / Value</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Clarion Partners Real Estate Income Fund Inc. (Issuer)</w:t>
            </w:r>
          </w:p>
        </w:tc>
        <w:tc>
          <w:tcPr>
            <w:tcW w:type="dxa" w:w="1440"/>
          </w:tcPr>
          <w:p>
            <w:r>
              <w:rPr>
                <w:rFonts w:ascii="Calibri" w:hAnsi="Calibri"/>
                <w:sz w:val="22"/>
              </w:rPr>
              <w:t>Affiliate of Investment Adviser</w:t>
            </w:r>
          </w:p>
        </w:tc>
        <w:tc>
          <w:tcPr>
            <w:tcW w:type="dxa" w:w="1440"/>
          </w:tcPr>
          <w:p>
            <w:r>
              <w:rPr>
                <w:rFonts w:ascii="Calibri" w:hAnsi="Calibri"/>
                <w:sz w:val="22"/>
              </w:rPr>
              <w:t>Open Market Sale</w:t>
            </w:r>
          </w:p>
        </w:tc>
        <w:tc>
          <w:tcPr>
            <w:tcW w:type="dxa" w:w="1440"/>
          </w:tcPr>
          <w:p>
            <w:r>
              <w:rPr>
                <w:rFonts w:ascii="Calibri" w:hAnsi="Calibri"/>
                <w:sz w:val="22"/>
              </w:rPr>
              <w:t>1,682,905 shares; ~$54.5M est.</w:t>
            </w:r>
          </w:p>
        </w:tc>
        <w:tc>
          <w:tcPr>
            <w:tcW w:type="dxa" w:w="1440"/>
          </w:tcPr>
          <w:p>
            <w:r>
              <w:rPr>
                <w:rFonts w:ascii="Calibri" w:hAnsi="Calibri"/>
                <w:sz w:val="22"/>
              </w:rPr>
              <w:t>Jul 20, 2026 (filed Jul 22)</w:t>
            </w:r>
          </w:p>
        </w:tc>
        <w:tc>
          <w:tcPr>
            <w:tcW w:type="dxa" w:w="1440"/>
          </w:tcPr>
          <w:p>
            <w:r>
              <w:rPr>
                <w:rFonts w:ascii="Calibri" w:hAnsi="Calibri"/>
                <w:sz w:val="22"/>
              </w:rPr>
              <w:t>Sale by an affiliated investment fund entity, not a named executive. Remaining position: ~5.1M shares. Likely a fund-level portfolio management decision, not a discretionary insider signal.</w:t>
            </w:r>
          </w:p>
        </w:tc>
      </w:tr>
    </w:tbl>
    <w:p>
      <w:r>
        <w:rPr>
          <w:rFonts w:ascii="Calibri" w:hAnsi="Calibri"/>
          <w:color w:val="525866"/>
          <w:sz w:val="22"/>
        </w:rPr>
        <w:t>No open-market purchases or sales by named officers or directors (CEO, CFO, Co-Presidents, or Board members) were filed in the last 60 days. The $60M retention equity awards (PSUs + RSUs) granted July 21 to four senior executives are equity-based compensation grants (Form 4 code “A” — acquisition/award), not open-market transactions, and are excluded from the table above per methodology. These awards carry 3–5 year cliff vesting schedules, which effectively lock up management’s economic interest in the stock through at least 2029–2031.</w:t>
      </w:r>
    </w:p>
    <w:p>
      <w:r>
        <w:rPr>
          <w:rFonts w:ascii="Calibri" w:hAnsi="Calibri"/>
          <w:i/>
          <w:color w:val="525866"/>
          <w:sz w:val="22"/>
        </w:rPr>
        <w:t>Source: Insider Transaction Data (SEC Form 4 Filings)</w:t>
      </w:r>
    </w:p>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