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g-earnings-predictions--2026-07-29"/>
    <w:p>
      <w:pPr>
        <w:pStyle w:val="Heading1"/>
      </w:pPr>
      <w:r>
        <w:t xml:space="preserve">BG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~$2.15 vs. cons $2.03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segment EBIT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~$23.6B vs. cons $23.5B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9.50</m:t>
              </m:r>
              <m:r>
                <m:rPr>
                  <m:sty m:val="p"/>
                </m:rPr>
                <m:t>−</m:t>
              </m:r>
              <m:r>
                <m:t>10.00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9.75) vs. cons ~$9.30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Q2 vs Street (cadence ~40% H1)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implied Q2 ~$1.85-1.90 vs. cons $2.03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Viterra synergies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190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t</m:t>
              </m:r>
              <m:r>
                <m:t>r</m:t>
              </m:r>
              <m:r>
                <m:t>a</m:t>
              </m:r>
              <m:r>
                <m:t>c</m:t>
              </m:r>
              <m:r>
                <m:t>k</m:t>
              </m:r>
              <m:r>
                <m:t>i</m:t>
              </m:r>
              <m:r>
                <m:t>n</m:t>
              </m:r>
              <m:r>
                <m:t>g</m:t>
              </m:r>
              <m:r>
                <m:t>a</m:t>
              </m:r>
              <m:r>
                <m:t>h</m:t>
              </m:r>
              <m:r>
                <m:t>e</m:t>
              </m:r>
              <m:r>
                <m:t>a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190M plan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Below-the-line (interest + tax rate)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interest ~$620-660M &amp; tax 22-26% vs. Q1 ~18% (FY26 headwind)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completion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remaining ~</w:t>
            </w:r>
            <m:oMath>
              <m:r>
                <m:t>250</m:t>
              </m:r>
              <m:r>
                <m:t>M</m:t>
              </m:r>
              <m:r>
                <m:t>b</m:t>
              </m:r>
              <m:r>
                <m:t>y</m:t>
              </m:r>
              <m:r>
                <m:t>Y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250M plan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Likely Q2 beat vs Street plus a modest FY guide-raise drives an initial pop, but the Street already models above Bunge's own ~40% H1 cadence and H2 crush curves remain heavily inverted with limited visibility; as analysts reconcile the beat against the implicitly lower H2 out-period math (tropicals softness, higher interest/tax, thin forward liquidity) and shares still sit well below the June ~$131 peak, the day-1 gain gives back most ground and stabilizes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2026-07-29T00:15:19Z</dcterms:created>
  <dcterms:modified xsi:type="dcterms:W3CDTF">2026-07-29T00:15:19Z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