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492cbfc35326f7125531c6daa3fb08de30f2f45"/>
    <w:p>
      <w:pPr>
        <w:pStyle w:val="Heading1"/>
      </w:pPr>
      <w:r>
        <w:t xml:space="preserve">Bunge Global (BG) — Q2 2026 Earnings Preview</w:t>
      </w:r>
    </w:p>
    <w:p>
      <w:pPr>
        <w:pStyle w:val="FirstParagraph"/>
      </w:pPr>
      <w:r>
        <w:rPr>
          <w:b/>
          <w:bCs/>
        </w:rPr>
        <w:t xml:space="preserve">Report Date:</w:t>
      </w:r>
      <w:r>
        <w:t xml:space="preserve"> </w:t>
      </w:r>
      <w:r>
        <w:t xml:space="preserve">Wednesday, July 29, 2026 |</w:t>
      </w:r>
      <w:r>
        <w:t xml:space="preserve"> </w:t>
      </w:r>
      <w:r>
        <w:rPr>
          <w:b/>
          <w:bCs/>
        </w:rPr>
        <w:t xml:space="preserve">Event:</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Bunge enters tomorrow's print with a stock that has been volatile but broadly strong in 2026 — shares ran from roughly $93 in early January to a peak near $131 in early June, sold off to about $107 by June 30, and have since recovered to the $117-118 range heading into earnings. The move higher this year has been driven largely by strengthening crush economics tied to biofuel policy clarity and, more recently, energy-market disruption from the Middle East conflict pushing up diesel and soybean-oil prices.</w:t>
      </w:r>
    </w:p>
    <w:p>
      <w:pPr>
        <w:pStyle w:val="BodyText"/>
      </w:pPr>
      <w:r>
        <w:t xml:space="preserve">Sell-side sentiment is constructive: consensus rating is Buy/Strong Buy, with price targets ranging roughly from the low $110s to $150 and averages in the low-to-mid $140s. Barclays has an Overweight with a Street-high $150 target, and BofA has moved its target up to</w:t>
      </w:r>
      <w:r>
        <w:t xml:space="preserve"> </w:t>
      </w:r>
      <m:oMath>
        <m:r>
          <m:t>130</m:t>
        </m:r>
        <m:r>
          <m:rPr>
            <m:sty m:val="p"/>
          </m:rPr>
          <m:t>.</m:t>
        </m:r>
        <m:r>
          <m:t>C</m:t>
        </m:r>
        <m:r>
          <m:t>o</m:t>
        </m:r>
        <m:r>
          <m:t>n</m:t>
        </m:r>
        <m:r>
          <m:t>s</m:t>
        </m:r>
        <m:r>
          <m:t>e</m:t>
        </m:r>
        <m:r>
          <m:t>n</m:t>
        </m:r>
        <m:r>
          <m:t>s</m:t>
        </m:r>
        <m:r>
          <m:t>u</m:t>
        </m:r>
        <m:r>
          <m:t>s</m:t>
        </m:r>
        <m:r>
          <m:t>e</m:t>
        </m:r>
        <m:r>
          <m:t>s</m:t>
        </m:r>
        <m:r>
          <m:t>t</m:t>
        </m:r>
        <m:r>
          <m:t>i</m:t>
        </m:r>
        <m:r>
          <m:t>m</m:t>
        </m:r>
        <m:r>
          <m:t>a</m:t>
        </m:r>
        <m:r>
          <m:t>t</m:t>
        </m:r>
        <m:r>
          <m:t>e</m:t>
        </m:r>
        <m:r>
          <m:t>s</m:t>
        </m:r>
        <m:r>
          <m:t>f</m:t>
        </m:r>
        <m:r>
          <m:t>o</m:t>
        </m:r>
        <m:r>
          <m:t>r</m:t>
        </m:r>
        <m:r>
          <m:t>t</m:t>
        </m:r>
        <m:r>
          <m:t>h</m:t>
        </m:r>
        <m:r>
          <m:t>e</m:t>
        </m:r>
        <m:r>
          <m:t>q</m:t>
        </m:r>
        <m:r>
          <m:t>u</m:t>
        </m:r>
        <m:r>
          <m:t>a</m:t>
        </m:r>
        <m:r>
          <m:t>r</m:t>
        </m:r>
        <m:r>
          <m:t>t</m:t>
        </m:r>
        <m:r>
          <m:t>e</m:t>
        </m:r>
        <m:r>
          <m:t>r</m:t>
        </m:r>
        <m:r>
          <m:t>a</m:t>
        </m:r>
        <m:r>
          <m:t>r</m:t>
        </m:r>
        <m:r>
          <m:t>e</m:t>
        </m:r>
        <m:r>
          <m:t>r</m:t>
        </m:r>
        <m:r>
          <m:t>u</m:t>
        </m:r>
        <m:r>
          <m:t>n</m:t>
        </m:r>
        <m:r>
          <m:t>n</m:t>
        </m:r>
        <m:r>
          <m:t>i</m:t>
        </m:r>
        <m:r>
          <m:t>n</m:t>
        </m:r>
        <m:r>
          <m:t>g</m:t>
        </m:r>
        <m:r>
          <m:t>a</m:t>
        </m:r>
        <m:r>
          <m:t>r</m:t>
        </m:r>
        <m:r>
          <m:t>o</m:t>
        </m:r>
        <m:r>
          <m:t>u</m:t>
        </m:r>
        <m:r>
          <m:t>n</m:t>
        </m:r>
        <m:r>
          <m:t>d</m:t>
        </m:r>
        <m:r>
          <m:rPr>
            <m:sty m:val="p"/>
          </m:rPr>
          <m:t>*</m:t>
        </m:r>
        <m:r>
          <m:rPr>
            <m:sty m:val="p"/>
          </m:rPr>
          <m:t>*</m:t>
        </m:r>
      </m:oMath>
      <w:r>
        <w:t xml:space="preserve">23.5 billion in revenue and roughly $2.03 in adjusted EPS**, reflecting expectations of strong year-over-year growth off last year's Viterra-inflated but margin-challenged base.</w:t>
      </w:r>
    </w:p>
    <w:bookmarkEnd w:id="9"/>
    <w:bookmarkStart w:id="10" w:name="X063f48b4a91d087e41b2cd7ccc8abb1f33769f7"/>
    <w:p>
      <w:pPr>
        <w:pStyle w:val="Heading2"/>
      </w:pPr>
      <w:r>
        <w:t xml:space="preserve">Q1 Recap: A Big Guidance Raise Sets the Bar</w:t>
      </w:r>
    </w:p>
    <w:p>
      <w:pPr>
        <w:pStyle w:val="FirstParagraph"/>
      </w:pPr>
      <w:r>
        <w:t xml:space="preserve">Bunge's first quarter was a blowout relative to expectations. Adjusted EPS of $1.83 was roughly flat year-over-year (vs.</w:t>
      </w:r>
      <w:r>
        <w:t xml:space="preserve"> </w:t>
      </w:r>
      <m:oMath>
        <m:r>
          <m:t>1.81</m:t>
        </m:r>
        <m:r>
          <m:rPr>
            <m:sty m:val="p"/>
          </m:rPr>
          <m:t>)</m:t>
        </m:r>
        <m:r>
          <m:rPr>
            <m:sty m:val="p"/>
          </m:rPr>
          <m:t>,</m:t>
        </m:r>
        <m:r>
          <m:t>b</m:t>
        </m:r>
        <m:r>
          <m:t>u</m:t>
        </m:r>
        <m:r>
          <m:t>t</m:t>
        </m:r>
        <m:r>
          <m:t>w</m:t>
        </m:r>
        <m:r>
          <m:t>e</m:t>
        </m:r>
        <m:r>
          <m:t>l</m:t>
        </m:r>
        <m:r>
          <m:t>l</m:t>
        </m:r>
        <m:r>
          <m:t>a</m:t>
        </m:r>
        <m:r>
          <m:t>h</m:t>
        </m:r>
        <m:r>
          <m:t>e</m:t>
        </m:r>
        <m:r>
          <m:t>a</m:t>
        </m:r>
        <m:r>
          <m:t>d</m:t>
        </m:r>
        <m:r>
          <m:t>o</m:t>
        </m:r>
        <m:r>
          <m:t>f</m:t>
        </m:r>
        <m:r>
          <m:t>t</m:t>
        </m:r>
        <m:r>
          <m:t>h</m:t>
        </m:r>
        <m:r>
          <m:t>e</m:t>
        </m:r>
        <m:r>
          <m:t>l</m:t>
        </m:r>
        <m:r>
          <m:t>o</m:t>
        </m:r>
        <m:r>
          <m:t>w</m:t>
        </m:r>
        <m:r>
          <m:rPr>
            <m:sty m:val="p"/>
          </m:rPr>
          <m:t>−</m:t>
        </m:r>
      </m:oMath>
      <w:r>
        <w:t xml:space="preserve">0.80s the company had originally guided to, driven by outperformance in Soybean and Softseed Processing and Refining. Management responded by raising full-year adjusted EPS guidance materially — from</w:t>
      </w:r>
      <w:r>
        <w:t xml:space="preserve"> </w:t>
      </w:r>
      <m:oMath>
        <m:r>
          <m:t>7.50</m:t>
        </m:r>
        <m:r>
          <m:rPr>
            <m:sty m:val="p"/>
          </m:rPr>
          <m:t>–</m:t>
        </m:r>
      </m:oMath>
      <w:r>
        <w:t xml:space="preserve">8.00 up to</w:t>
      </w:r>
      <w:r>
        <w:t xml:space="preserve"> </w:t>
      </w:r>
      <m:oMath>
        <m:r>
          <m:t>9.00</m:t>
        </m:r>
        <m:r>
          <m:rPr>
            <m:sty m:val="p"/>
          </m:rPr>
          <m:t>–</m:t>
        </m:r>
      </m:oMath>
      <w:r>
        <w:rPr>
          <w:b/>
          <w:bCs/>
        </w:rPr>
        <w:t xml:space="preserve">9.50</w:t>
      </w:r>
      <w:r>
        <w:t xml:space="preserve"> </w:t>
      </w:r>
      <w:r>
        <w:t xml:space="preserve">— citing "the current margin and macro environment and forward curves." Segment-level, the company said Soybean and Softseed Processing/Refining results are expected to be higher than prior guidance, while Tropical Oils and Specialty Ingredients and Grain Merchandising and Milling were guided lower, with Corporate and Other in line.</w:t>
      </w:r>
    </w:p>
    <w:p>
      <w:pPr>
        <w:pStyle w:val="BodyText"/>
      </w:pPr>
      <w:r>
        <w:t xml:space="preserve">Management also gave explicit cadence guidance on the Q1 call: full-year earnings are now expected to skew 40% first half / 60% second half (versus 30/70 previously), with Q3/Q4 roughly 45%/55%. Applying that math to the new</w:t>
      </w:r>
      <w:r>
        <w:t xml:space="preserve"> </w:t>
      </w:r>
      <m:oMath>
        <m:r>
          <m:t>9.00</m:t>
        </m:r>
        <m:r>
          <m:rPr>
            <m:sty m:val="p"/>
          </m:rPr>
          <m:t>–</m:t>
        </m:r>
      </m:oMath>
      <w:r>
        <w:t xml:space="preserve">9.50 range implies first-half EPS of about</w:t>
      </w:r>
      <w:r>
        <w:t xml:space="preserve"> </w:t>
      </w:r>
      <m:oMath>
        <m:r>
          <m:t>3.60</m:t>
        </m:r>
        <m:r>
          <m:rPr>
            <m:sty m:val="p"/>
          </m:rPr>
          <m:t>–</m:t>
        </m:r>
      </m:oMath>
      <w:r>
        <w:t xml:space="preserve">3.80, meaning</w:t>
      </w:r>
      <w:r>
        <w:t xml:space="preserve"> </w:t>
      </w:r>
      <w:r>
        <w:rPr>
          <w:b/>
          <w:bCs/>
        </w:rPr>
        <w:t xml:space="preserve">Q2 adjusted EPS should fall in roughly the</w:t>
      </w:r>
      <w:r>
        <w:rPr>
          <w:b/>
          <w:bCs/>
        </w:rPr>
        <w:t xml:space="preserve"> </w:t>
      </w:r>
      <m:oMath>
        <m:r>
          <m:t>1.77</m:t>
        </m:r>
        <m:r>
          <m:rPr>
            <m:sty m:val="p"/>
          </m:rPr>
          <m:t>–</m:t>
        </m:r>
      </m:oMath>
      <w:r>
        <w:rPr>
          <w:b/>
          <w:bCs/>
        </w:rPr>
        <w:t xml:space="preserve">1.97 range</w:t>
      </w:r>
      <w:r>
        <w:t xml:space="preserve"> </w:t>
      </w:r>
      <w:r>
        <w:t xml:space="preserve">on a straight-line basis — modestly below the ~$2.03 Street consensus, which would suggest the market is pricing in incremental upside from the stronger crush environment seen through Q2.</w:t>
      </w:r>
    </w:p>
    <w:bookmarkEnd w:id="10"/>
    <w:bookmarkStart w:id="11" w:name="whats-driving-the-fundamentals-right-now"/>
    <w:p>
      <w:pPr>
        <w:pStyle w:val="Heading2"/>
      </w:pPr>
      <w:r>
        <w:t xml:space="preserve">What's Driving the Fundamentals Right Now</w:t>
      </w:r>
    </w:p>
    <w:p>
      <w:pPr>
        <w:pStyle w:val="Compact"/>
        <w:numPr>
          <w:ilvl w:val="0"/>
          <w:numId w:val="1001"/>
        </w:numPr>
      </w:pPr>
      <w:r>
        <w:rPr>
          <w:b/>
          <w:bCs/>
        </w:rPr>
        <w:t xml:space="preserve">Crush margins have remained strong.</w:t>
      </w:r>
      <w:r>
        <w:t xml:space="preserve"> </w:t>
      </w:r>
      <w:r>
        <w:t xml:space="preserve">Industry data through Q2 show U.S. soybean crush running roughly 8% above last year's pace, with crush margins near multi-year highs, supported by the EPA's finalized Renewable Volume Obligations (RVOs) and elevated diesel prices tied to Middle East supply disruptions. Bunge's own Q1 call flagged that biofuel demand is a "bright spot," with the RVO decision providing policy clarity that supports processor economics.</w:t>
      </w:r>
    </w:p>
    <w:p>
      <w:pPr>
        <w:pStyle w:val="Compact"/>
        <w:numPr>
          <w:ilvl w:val="0"/>
          <w:numId w:val="1001"/>
        </w:numPr>
      </w:pPr>
      <w:r>
        <w:rPr>
          <w:b/>
          <w:bCs/>
        </w:rPr>
        <w:t xml:space="preserve">Soybean meal demand has been a persistent positive surprise</w:t>
      </w:r>
      <w:r>
        <w:t xml:space="preserve">, driven by strong global animal-protein economics, which has helped offset the industry's structural meal-glut concerns from expanding U.S./South American crush capacity.</w:t>
      </w:r>
    </w:p>
    <w:p>
      <w:pPr>
        <w:pStyle w:val="Compact"/>
        <w:numPr>
          <w:ilvl w:val="0"/>
          <w:numId w:val="1001"/>
        </w:numPr>
      </w:pPr>
      <w:r>
        <w:rPr>
          <w:b/>
          <w:bCs/>
        </w:rPr>
        <w:t xml:space="preserve">Geopolitical disruption is a double-edged sword.</w:t>
      </w:r>
      <w:r>
        <w:t xml:space="preserve"> </w:t>
      </w:r>
      <w:r>
        <w:t xml:space="preserve">On the Q1 call, management described the Middle East conflict as having "meaningfully disrupted global trade flows, logistics costs and supply chains," forcing the company to reroute shipping and manage counterparty/payment risk — while also noting that higher flat prices tend to draw out more farmer selling, which can boost origination margins.</w:t>
      </w:r>
    </w:p>
    <w:p>
      <w:pPr>
        <w:pStyle w:val="Compact"/>
        <w:numPr>
          <w:ilvl w:val="0"/>
          <w:numId w:val="1001"/>
        </w:numPr>
      </w:pPr>
      <w:r>
        <w:rPr>
          <w:b/>
          <w:bCs/>
        </w:rPr>
        <w:t xml:space="preserve">Segments flagged as soft</w:t>
      </w:r>
      <w:r>
        <w:t xml:space="preserve">: Grain Merchandising and Milling was hurt in Q1 by ocean freight/bunker fuel cost spikes, and management said visibility there remains limited. Tropical Oils and Specialty Ingredients faces softer food-customer volumes, lower cocoa butter equivalent margins as cocoa prices have fallen, and tariff-related caution among customers — all reasons the segment's full-year outlook was cut.</w:t>
      </w:r>
    </w:p>
    <w:p>
      <w:pPr>
        <w:pStyle w:val="Compact"/>
        <w:numPr>
          <w:ilvl w:val="0"/>
          <w:numId w:val="1001"/>
        </w:numPr>
      </w:pPr>
      <w:r>
        <w:rPr>
          <w:b/>
          <w:bCs/>
        </w:rPr>
        <w:t xml:space="preserve">Cost headwinds building into Q2</w:t>
      </w:r>
      <w:r>
        <w:t xml:space="preserve">: management guided to a normalizing tax rate (Q1's rate was unusually low on discrete items), rising net interest expense (raised to a</w:t>
      </w:r>
      <w:r>
        <w:t xml:space="preserve"> </w:t>
      </w:r>
      <m:oMath>
        <m:r>
          <m:t>620</m:t>
        </m:r>
        <m:r>
          <m:rPr>
            <m:sty m:val="p"/>
          </m:rPr>
          <m:t>–</m:t>
        </m:r>
      </m:oMath>
      <w:r>
        <w:t xml:space="preserve">660 million full-year range from</w:t>
      </w:r>
      <w:r>
        <w:t xml:space="preserve"> </w:t>
      </w:r>
      <m:oMath>
        <m:r>
          <m:t>575</m:t>
        </m:r>
        <m:r>
          <m:rPr>
            <m:sty m:val="p"/>
          </m:rPr>
          <m:t>–</m:t>
        </m:r>
      </m:oMath>
      <w:r>
        <w:t xml:space="preserve">625 million) due to higher working-capital needs, and higher Corporate expense sequentially.</w:t>
      </w:r>
    </w:p>
    <w:bookmarkEnd w:id="11"/>
    <w:bookmarkStart w:id="12" w:name="X2fda132cc76a924bbf0e1edd3bc5334a20f9263"/>
    <w:p>
      <w:pPr>
        <w:pStyle w:val="Heading2"/>
      </w:pPr>
      <w:r>
        <w:t xml:space="preserve">Viterra Integration &amp; Synergies — A Key Swing Factor</w:t>
      </w:r>
    </w:p>
    <w:p>
      <w:pPr>
        <w:pStyle w:val="FirstParagraph"/>
      </w:pPr>
      <w:r>
        <w:t xml:space="preserve">At Bunge's March Investor Day, management raised its 2030 mid-cycle EPS baseline to</w:t>
      </w:r>
      <w:r>
        <w:t xml:space="preserve"> </w:t>
      </w:r>
      <w:r>
        <w:rPr>
          <w:b/>
          <w:bCs/>
        </w:rPr>
        <w:t xml:space="preserve">over $15</w:t>
      </w:r>
      <w:r>
        <w:t xml:space="preserve">, up from $13 previously discussed and</w:t>
      </w:r>
      <w:r>
        <w:t xml:space="preserve"> </w:t>
      </w:r>
      <m:oMath>
        <m:r>
          <m:t>7</m:t>
        </m:r>
        <m:r>
          <m:rPr>
            <m:sty m:val="p"/>
          </m:rPr>
          <m:t>–</m:t>
        </m:r>
      </m:oMath>
      <w:r>
        <w:t xml:space="preserve">8.50 pre-Viterra, driven by three "controllable" levers worth roughly</w:t>
      </w:r>
      <w:r>
        <w:t xml:space="preserve"> </w:t>
      </w:r>
      <m:oMath>
        <m:r>
          <m:t>5</m:t>
        </m:r>
        <m:r>
          <m:rPr>
            <m:sty m:val="p"/>
          </m:rPr>
          <m:t>/</m:t>
        </m:r>
        <m:r>
          <m:t>s</m:t>
        </m:r>
        <m:r>
          <m:t>h</m:t>
        </m:r>
        <m:r>
          <m:t>a</m:t>
        </m:r>
        <m:r>
          <m:t>r</m:t>
        </m:r>
        <m:r>
          <m:t>e</m:t>
        </m:r>
        <m:r>
          <m:t>c</m:t>
        </m:r>
        <m:r>
          <m:t>o</m:t>
        </m:r>
        <m:r>
          <m:t>m</m:t>
        </m:r>
        <m:r>
          <m:t>b</m:t>
        </m:r>
        <m:r>
          <m:t>i</m:t>
        </m:r>
        <m:r>
          <m:t>n</m:t>
        </m:r>
        <m:r>
          <m:t>e</m:t>
        </m:r>
        <m:r>
          <m:t>d</m:t>
        </m:r>
        <m:r>
          <m:rPr>
            <m:sty m:val="p"/>
          </m:rPr>
          <m:t>:</m:t>
        </m:r>
        <m:r>
          <m:t>c</m:t>
        </m:r>
        <m:r>
          <m:t>o</m:t>
        </m:r>
        <m:r>
          <m:t>m</m:t>
        </m:r>
        <m:r>
          <m:t>p</m:t>
        </m:r>
        <m:r>
          <m:t>l</m:t>
        </m:r>
        <m:r>
          <m:t>e</m:t>
        </m:r>
        <m:r>
          <m:t>t</m:t>
        </m:r>
        <m:r>
          <m:t>i</m:t>
        </m:r>
        <m:r>
          <m:t>o</m:t>
        </m:r>
        <m:r>
          <m:t>n</m:t>
        </m:r>
        <m:r>
          <m:t>o</m:t>
        </m:r>
        <m:r>
          <m:t>f</m:t>
        </m:r>
        <m:r>
          <m:t>l</m:t>
        </m:r>
        <m:r>
          <m:t>a</m:t>
        </m:r>
        <m:r>
          <m:t>r</m:t>
        </m:r>
        <m:r>
          <m:t>g</m:t>
        </m:r>
        <m:r>
          <m:t>e</m:t>
        </m:r>
        <m:r>
          <m:t>i</m:t>
        </m:r>
        <m:r>
          <m:t>n</m:t>
        </m:r>
        <m:r>
          <m:rPr>
            <m:sty m:val="p"/>
          </m:rPr>
          <m:t>−</m:t>
        </m:r>
        <m:r>
          <m:t>f</m:t>
        </m:r>
        <m:r>
          <m:t>l</m:t>
        </m:r>
        <m:r>
          <m:t>i</m:t>
        </m:r>
        <m:r>
          <m:t>g</m:t>
        </m:r>
        <m:r>
          <m:t>h</m:t>
        </m:r>
        <m:r>
          <m:t>t</m:t>
        </m:r>
        <m:r>
          <m:t>C</m:t>
        </m:r>
        <m:r>
          <m:t>a</m:t>
        </m:r>
        <m:r>
          <m:t>p</m:t>
        </m:r>
        <m:r>
          <m:t>E</m:t>
        </m:r>
        <m:r>
          <m:t>x</m:t>
        </m:r>
        <m:r>
          <m:t>p</m:t>
        </m:r>
        <m:r>
          <m:t>r</m:t>
        </m:r>
        <m:r>
          <m:t>o</m:t>
        </m:r>
        <m:r>
          <m:t>j</m:t>
        </m:r>
        <m:r>
          <m:t>e</m:t>
        </m:r>
        <m:r>
          <m:t>c</m:t>
        </m:r>
        <m:r>
          <m:t>t</m:t>
        </m:r>
        <m:r>
          <m:t>s</m:t>
        </m:r>
        <m:r>
          <m:rPr>
            <m:sty m:val="p"/>
          </m:rPr>
          <m:t>(</m:t>
        </m:r>
        <m:r>
          <m:t> </m:t>
        </m:r>
      </m:oMath>
      <w:r>
        <w:t xml:space="preserve">1.30/share), Viterra cost and commercial synergies, and disciplined capital allocation/buybacks. Cost synergies were raised to roughly $350 million (from an original $250 million target), with commercial synergies of</w:t>
      </w:r>
      <w:r>
        <w:t xml:space="preserve"> </w:t>
      </w:r>
      <m:oMath>
        <m:r>
          <m:t>250</m:t>
        </m:r>
        <m:r>
          <m:rPr>
            <m:sty m:val="p"/>
          </m:rPr>
          <m:t>–</m:t>
        </m:r>
      </m:oMath>
      <w:r>
        <w:t xml:space="preserve">300 million also identified — and management indicated the Q1 print already reflects Viterra cost synergies "running ahead of plan." Investors should listen for an update on synergy capture pace, plus commentary on the Renova plant (the world's largest crush facility, acquired via Viterra) and grain-merchandising network synergies, which management called the hardest segment to forecast but the area with the most synergy upside.</w:t>
      </w:r>
    </w:p>
    <w:bookmarkEnd w:id="12"/>
    <w:bookmarkStart w:id="13" w:name="capital-allocation-to-watch"/>
    <w:p>
      <w:pPr>
        <w:pStyle w:val="Heading2"/>
      </w:pPr>
      <w:r>
        <w:t xml:space="preserve">Capital Allocation to Watch</w:t>
      </w:r>
    </w:p>
    <w:p>
      <w:pPr>
        <w:pStyle w:val="Compact"/>
        <w:numPr>
          <w:ilvl w:val="0"/>
          <w:numId w:val="1002"/>
        </w:numPr>
      </w:pPr>
      <w:r>
        <w:t xml:space="preserve">Bunge still has</w:t>
      </w:r>
      <w:r>
        <w:t xml:space="preserve"> </w:t>
      </w:r>
      <w:r>
        <w:rPr>
          <w:b/>
          <w:bCs/>
        </w:rPr>
        <w:t xml:space="preserve">$250 million of Viterra-related share buybacks</w:t>
      </w:r>
      <w:r>
        <w:t xml:space="preserve"> </w:t>
      </w:r>
      <w:r>
        <w:t xml:space="preserve">to complete by year-end.</w:t>
      </w:r>
    </w:p>
    <w:p>
      <w:pPr>
        <w:pStyle w:val="Compact"/>
        <w:numPr>
          <w:ilvl w:val="0"/>
          <w:numId w:val="1002"/>
        </w:numPr>
      </w:pPr>
      <w:r>
        <w:t xml:space="preserve">The new capital allocation framework targets ~50% of discretionary cash flow returned to shareholders over the cycle (~$700 million/year of buybacks at the $13 mid-cycle baseline), but management flagged that 2026's capital commitments (CapEx, dividends, the remaining Viterra buyback) will largely consume this year's discretionary cash flow.</w:t>
      </w:r>
    </w:p>
    <w:p>
      <w:pPr>
        <w:pStyle w:val="Compact"/>
        <w:numPr>
          <w:ilvl w:val="0"/>
          <w:numId w:val="1002"/>
        </w:numPr>
      </w:pPr>
      <w:r>
        <w:t xml:space="preserve">Leverage was 1.6x adjusted net debt/EBITDA at Q1-end (vs. a 2.0x–2.5x through-cycle target), but management noted its Moody's leverage metric is a bit elevated versus where it wants to be by year-end — a factor that could temper any acceleration of buybacks even if cash generation continues to improve.</w:t>
      </w:r>
    </w:p>
    <w:bookmarkEnd w:id="13"/>
    <w:bookmarkStart w:id="14" w:name="key-questions-for-tomorrows-call"/>
    <w:p>
      <w:pPr>
        <w:pStyle w:val="Heading2"/>
      </w:pPr>
      <w:r>
        <w:t xml:space="preserve">Key Questions for Tomorrow's Call</w:t>
      </w:r>
    </w:p>
    <w:p>
      <w:pPr>
        <w:pStyle w:val="Compact"/>
        <w:numPr>
          <w:ilvl w:val="0"/>
          <w:numId w:val="1003"/>
        </w:numPr>
      </w:pPr>
      <w:r>
        <w:rPr>
          <w:b/>
          <w:bCs/>
        </w:rPr>
        <w:t xml:space="preserve">Does management raise full-year guidance again</w:t>
      </w:r>
      <w:r>
        <w:t xml:space="preserve">, given crush margins have stayed firm through Q2, or do they stay disciplined given the "significant uncertainty" they flagged for the back half?</w:t>
      </w:r>
    </w:p>
    <w:p>
      <w:pPr>
        <w:pStyle w:val="Compact"/>
        <w:numPr>
          <w:ilvl w:val="0"/>
          <w:numId w:val="1003"/>
        </w:numPr>
      </w:pPr>
      <w:r>
        <w:rPr>
          <w:b/>
          <w:bCs/>
        </w:rPr>
        <w:t xml:space="preserve">Grain Merchandising &amp; Milling and Tropical Oils</w:t>
      </w:r>
      <w:r>
        <w:t xml:space="preserve"> </w:t>
      </w:r>
      <w:r>
        <w:t xml:space="preserve">— any signs of stabilization, or further deterioration from freight/bunker costs and soft food-customer demand?</w:t>
      </w:r>
    </w:p>
    <w:p>
      <w:pPr>
        <w:pStyle w:val="Compact"/>
        <w:numPr>
          <w:ilvl w:val="0"/>
          <w:numId w:val="1003"/>
        </w:numPr>
      </w:pPr>
      <w:r>
        <w:rPr>
          <w:b/>
          <w:bCs/>
        </w:rPr>
        <w:t xml:space="preserve">RVO/biofuel policy execution</w:t>
      </w:r>
      <w:r>
        <w:t xml:space="preserve"> </w:t>
      </w:r>
      <w:r>
        <w:t xml:space="preserve">— is actual blending keeping pace with the mandate, and how is soy-oil stock drawdown progressing into Q3/Q4?</w:t>
      </w:r>
    </w:p>
    <w:p>
      <w:pPr>
        <w:pStyle w:val="Compact"/>
        <w:numPr>
          <w:ilvl w:val="0"/>
          <w:numId w:val="1003"/>
        </w:numPr>
      </w:pPr>
      <w:r>
        <w:rPr>
          <w:b/>
          <w:bCs/>
        </w:rPr>
        <w:t xml:space="preserve">China-U.S. soybean trade</w:t>
      </w:r>
      <w:r>
        <w:t xml:space="preserve"> </w:t>
      </w:r>
      <w:r>
        <w:t xml:space="preserve">— any incremental commitments or flow changes that could affect origination and crush economics into new-crop marketing?</w:t>
      </w:r>
    </w:p>
    <w:p>
      <w:pPr>
        <w:pStyle w:val="Compact"/>
        <w:numPr>
          <w:ilvl w:val="0"/>
          <w:numId w:val="1003"/>
        </w:numPr>
      </w:pPr>
      <w:r>
        <w:rPr>
          <w:b/>
          <w:bCs/>
        </w:rPr>
        <w:t xml:space="preserve">South American crop conditions</w:t>
      </w:r>
      <w:r>
        <w:t xml:space="preserve"> </w:t>
      </w:r>
      <w:r>
        <w:t xml:space="preserve">— Argentina/Brazil bean availability, plus any early read on El Niño risk to the next Northern Hemisphere crop.</w:t>
      </w:r>
    </w:p>
    <w:p>
      <w:pPr>
        <w:pStyle w:val="Compact"/>
        <w:numPr>
          <w:ilvl w:val="0"/>
          <w:numId w:val="1003"/>
        </w:numPr>
      </w:pPr>
      <w:r>
        <w:rPr>
          <w:b/>
          <w:bCs/>
        </w:rPr>
        <w:t xml:space="preserve">Synergy trajectory</w:t>
      </w:r>
      <w:r>
        <w:t xml:space="preserve"> </w:t>
      </w:r>
      <w:r>
        <w:t xml:space="preserve">— updated cost/commercial synergy realization versus the ~</w:t>
      </w:r>
      <m:oMath>
        <m:r>
          <m:t>350</m:t>
        </m:r>
        <m:r>
          <m:t>M</m:t>
        </m:r>
        <m:r>
          <m:rPr>
            <m:sty m:val="p"/>
          </m:rPr>
          <m:t>/</m:t>
        </m:r>
      </m:oMath>
      <w:r>
        <w:t xml:space="preserve">250-300M framework laid out at Investor Day.</w:t>
      </w:r>
    </w:p>
    <w:p>
      <w:pPr>
        <w:pStyle w:val="Compact"/>
        <w:numPr>
          <w:ilvl w:val="0"/>
          <w:numId w:val="1003"/>
        </w:numPr>
      </w:pPr>
      <w:r>
        <w:rPr>
          <w:b/>
          <w:bCs/>
        </w:rPr>
        <w:t xml:space="preserve">Capital returns</w:t>
      </w:r>
      <w:r>
        <w:t xml:space="preserve"> </w:t>
      </w:r>
      <w:r>
        <w:t xml:space="preserve">— pace of the remaining $250 million Viterra buyback and any signal on accelerating repurchases as leverage normalizes.</w:t>
      </w:r>
    </w:p>
    <w:bookmarkEnd w:id="14"/>
    <w:bookmarkStart w:id="15" w:name="bottom-line"/>
    <w:p>
      <w:pPr>
        <w:pStyle w:val="Heading2"/>
      </w:pPr>
      <w:r>
        <w:t xml:space="preserve">Bottom Line</w:t>
      </w:r>
    </w:p>
    <w:p>
      <w:pPr>
        <w:pStyle w:val="FirstParagraph"/>
      </w:pPr>
      <w:r>
        <w:t xml:space="preserve">Bunge heads into Q2 with fresh, sharply raised guidance, a Viterra integration that management says is ahead of plan, and a favorable (if volatile) crush-margin backdrop tied to biofuel policy and geopolitically-driven energy prices. The setup is a high bar: consensus EPS (~</w:t>
      </w:r>
      <m:oMath>
        <m:r>
          <m:t>2.03</m:t>
        </m:r>
        <m:r>
          <m:rPr>
            <m:sty m:val="p"/>
          </m:rPr>
          <m:t>)</m:t>
        </m:r>
        <m:r>
          <m:t>s</m:t>
        </m:r>
        <m:r>
          <m:t>i</m:t>
        </m:r>
        <m:r>
          <m:t>t</m:t>
        </m:r>
        <m:r>
          <m:t>s</m:t>
        </m:r>
        <m:r>
          <m:t>s</m:t>
        </m:r>
        <m:r>
          <m:t>l</m:t>
        </m:r>
        <m:r>
          <m:t>i</m:t>
        </m:r>
        <m:r>
          <m:t>g</m:t>
        </m:r>
        <m:r>
          <m:t>h</m:t>
        </m:r>
        <m:r>
          <m:t>t</m:t>
        </m:r>
        <m:r>
          <m:t>l</m:t>
        </m:r>
        <m:r>
          <m:t>y</m:t>
        </m:r>
        <m:r>
          <m:t>a</m:t>
        </m:r>
        <m:r>
          <m:t>b</m:t>
        </m:r>
        <m:r>
          <m:t>o</m:t>
        </m:r>
        <m:r>
          <m:t>v</m:t>
        </m:r>
        <m:r>
          <m:t>e</m:t>
        </m:r>
        <m:r>
          <m:t>t</m:t>
        </m:r>
        <m:r>
          <m:t>h</m:t>
        </m:r>
        <m:r>
          <m:t>e</m:t>
        </m:r>
        <m:r>
          <m:t>c</m:t>
        </m:r>
        <m:r>
          <m:t>o</m:t>
        </m:r>
        <m:r>
          <m:t>m</m:t>
        </m:r>
        <m:r>
          <m:t>p</m:t>
        </m:r>
        <m:r>
          <m:t>a</m:t>
        </m:r>
        <m:r>
          <m:t>n</m:t>
        </m:r>
        <m:sSup>
          <m:e>
            <m:r>
              <m:t>y</m:t>
            </m:r>
          </m:e>
          <m:sup>
            <m:r>
              <m:rPr>
                <m:sty m:val="p"/>
              </m:rPr>
              <m:t>′</m:t>
            </m:r>
          </m:sup>
        </m:sSup>
        <m:r>
          <m:t>s</m:t>
        </m:r>
        <m:r>
          <m:t>o</m:t>
        </m:r>
        <m:r>
          <m:t>w</m:t>
        </m:r>
        <m:r>
          <m:t>n</m:t>
        </m:r>
        <m:r>
          <m:t>i</m:t>
        </m:r>
        <m:r>
          <m:t>m</m:t>
        </m:r>
        <m:r>
          <m:t>p</m:t>
        </m:r>
        <m:r>
          <m:t>l</m:t>
        </m:r>
        <m:r>
          <m:t>i</m:t>
        </m:r>
        <m:r>
          <m:t>e</m:t>
        </m:r>
        <m:r>
          <m:t>d</m:t>
        </m:r>
        <m:r>
          <m:t>Q</m:t>
        </m:r>
        <m:r>
          <m:t>2</m:t>
        </m:r>
        <m:r>
          <m:t>r</m:t>
        </m:r>
        <m:r>
          <m:t>u</m:t>
        </m:r>
        <m:r>
          <m:t>n</m:t>
        </m:r>
        <m:r>
          <m:rPr>
            <m:sty m:val="p"/>
          </m:rPr>
          <m:t>−</m:t>
        </m:r>
        <m:r>
          <m:t>r</m:t>
        </m:r>
        <m:r>
          <m:t>a</m:t>
        </m:r>
        <m:r>
          <m:t>t</m:t>
        </m:r>
        <m:r>
          <m:t>e</m:t>
        </m:r>
        <m:r>
          <m:rPr>
            <m:sty m:val="p"/>
          </m:rPr>
          <m:t>(</m:t>
        </m:r>
        <m:r>
          <m:t> </m:t>
        </m:r>
      </m:oMath>
      <w:r>
        <w:t xml:space="preserve">1.77–$1.97), so the print likely hinges on whether continued crush strength and merchandising/Argentina outperformance — the same drivers that fueled Q1's beat — can offset guided headwinds in Grain Merchandising, Tropical Oils, taxes, and interest expense. With Street price targets well above the current share price and a Buy-skewed analyst base, the market appears to be underwriting further upside from synergy capture and mid-cycle margin normalization; any disappointment on the softer segments or a more cautious tone on second-half visibility (curves remain notably inverted, per management's own Q1 commentary) would be the key risk to watch.</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2026-07-29T00:18:54Z</dcterms:created>
  <dcterms:modified xsi:type="dcterms:W3CDTF">2026-07-29T00:18:54Z</dcterms:modified>
</cp:coreProperties>
</file>

<file path=docProps/custom.xml><?xml version="1.0" encoding="utf-8"?>
<Properties xmlns="http://schemas.openxmlformats.org/officeDocument/2006/custom-properties" xmlns:vt="http://schemas.openxmlformats.org/officeDocument/2006/docPropsVTypes"/>
</file>