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acbd2b56e353b9fd5c8d5a8533621258615326"/>
    <w:p>
      <w:pPr>
        <w:pStyle w:val="Heading1"/>
      </w:pPr>
      <w:r>
        <w:t xml:space="preserve">Bunge Global (NYSE: BG) Q2 2026 Earnings Preview</w:t>
      </w:r>
    </w:p>
    <w:p>
      <w:pPr>
        <w:pStyle w:val="BlockText"/>
      </w:pPr>
      <w:r>
        <w:rPr>
          <w:b/>
          <w:bCs/>
        </w:rPr>
        <w:t xml:space="preserve">Timing note:</w:t>
      </w:r>
      <w:r>
        <w:t xml:space="preserve"> </w:t>
      </w:r>
      <w:r>
        <w:t xml:space="preserve">Bunge is scheduled to release results</w:t>
      </w:r>
      <w:r>
        <w:t xml:space="preserve"> </w:t>
      </w:r>
      <w:r>
        <w:rPr>
          <w:b/>
          <w:bCs/>
        </w:rPr>
        <w:t xml:space="preserve">today, Wednesday, July 29, 2026</w:t>
      </w:r>
      <w:r>
        <w:t xml:space="preserve">, before the market opens, followed by its conference call at</w:t>
      </w:r>
      <w:r>
        <w:t xml:space="preserve"> </w:t>
      </w:r>
      <w:r>
        <w:rPr>
          <w:b/>
          <w:bCs/>
        </w:rPr>
        <w:t xml:space="preserve">8:00 a.m. Eastern / 7:00 a.m. Central</w:t>
      </w:r>
      <w:r>
        <w:t xml:space="preserve">. The date in the prompt is correct, but it is today rather than tomorrow. (</w:t>
      </w:r>
      <w:hyperlink r:id="rId9">
        <w:r>
          <w:rPr>
            <w:rStyle w:val="Hyperlink"/>
          </w:rPr>
          <w:t xml:space="preserve">investors.bunge.com</w:t>
        </w:r>
      </w:hyperlink>
      <w:r>
        <w:t xml:space="preserve">)</w:t>
      </w:r>
    </w:p>
    <w:bookmarkStart w:id="11" w:name="executive-summary"/>
    <w:p>
      <w:pPr>
        <w:pStyle w:val="Heading2"/>
      </w:pPr>
      <w:r>
        <w:t xml:space="preserve">Executive summary</w:t>
      </w:r>
    </w:p>
    <w:p>
      <w:pPr>
        <w:pStyle w:val="FirstParagraph"/>
      </w:pPr>
      <w:r>
        <w:t xml:space="preserve">The most important issue is not whether Bunge beats the quarterly consensus by a few cents. It is whether management can</w:t>
      </w:r>
      <w:r>
        <w:t xml:space="preserve"> </w:t>
      </w:r>
      <w:r>
        <w:rPr>
          <w:b/>
          <w:bCs/>
        </w:rPr>
        <w:t xml:space="preserve">sustain or increase its</w:t>
      </w:r>
      <w:r>
        <w:rPr>
          <w:b/>
          <w:bCs/>
        </w:rPr>
        <w:t xml:space="preserve"> </w:t>
      </w:r>
      <m:oMath>
        <m:r>
          <m:t>9.00</m:t>
        </m:r>
        <m:r>
          <m:rPr>
            <m:sty m:val="p"/>
          </m:rPr>
          <m:t>–</m:t>
        </m:r>
      </m:oMath>
      <w:r>
        <w:rPr>
          <w:b/>
          <w:bCs/>
        </w:rPr>
        <w:t xml:space="preserve">9.50 full-year adjusted EPS outlook</w:t>
      </w:r>
      <w:r>
        <w:t xml:space="preserve"> </w:t>
      </w:r>
      <w:r>
        <w:t xml:space="preserve">after a stronger-than-expected first quarter.</w:t>
      </w:r>
    </w:p>
    <w:p>
      <w:pPr>
        <w:pStyle w:val="BodyText"/>
      </w:pPr>
      <w:r>
        <w:t xml:space="preserve">The Street expects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consensus</w:t>
            </w:r>
          </w:p>
        </w:tc>
      </w:tr>
      <w:tr>
        <w:tc>
          <w:tcPr/>
          <w:p>
            <w:pPr>
              <w:pStyle w:val="Compact"/>
            </w:pPr>
            <w:r>
              <w:t xml:space="preserve">Adjusted EPS</w:t>
            </w:r>
          </w:p>
        </w:tc>
        <w:tc>
          <w:tcPr/>
          <w:p>
            <w:pPr>
              <w:pStyle w:val="Compact"/>
              <w:jc w:val="right"/>
            </w:pPr>
            <w:r>
              <w:rPr>
                <w:b/>
                <w:bCs/>
              </w:rPr>
              <w:t xml:space="preserve">$1.97</w:t>
            </w:r>
          </w:p>
        </w:tc>
      </w:tr>
      <w:tr>
        <w:tc>
          <w:tcPr/>
          <w:p>
            <w:pPr>
              <w:pStyle w:val="Compact"/>
            </w:pPr>
            <w:r>
              <w:t xml:space="preserve">Revenue</w:t>
            </w:r>
          </w:p>
        </w:tc>
        <w:tc>
          <w:tcPr/>
          <w:p>
            <w:pPr>
              <w:pStyle w:val="Compact"/>
              <w:jc w:val="right"/>
            </w:pPr>
            <w:r>
              <w:rPr>
                <w:b/>
                <w:bCs/>
              </w:rPr>
              <w:t xml:space="preserve">$22.81 billion</w:t>
            </w:r>
          </w:p>
        </w:tc>
      </w:tr>
      <w:tr>
        <w:tc>
          <w:tcPr/>
          <w:p>
            <w:pPr>
              <w:pStyle w:val="Compact"/>
            </w:pPr>
            <w:r>
              <w:t xml:space="preserve">Q2 2025 adjusted EPS</w:t>
            </w:r>
          </w:p>
        </w:tc>
        <w:tc>
          <w:tcPr/>
          <w:p>
            <w:pPr>
              <w:pStyle w:val="Compact"/>
              <w:jc w:val="right"/>
            </w:pPr>
            <w:r>
              <w:rPr>
                <w:b/>
                <w:bCs/>
              </w:rPr>
              <w:t xml:space="preserve">$1.31</w:t>
            </w:r>
          </w:p>
        </w:tc>
      </w:tr>
    </w:tbl>
    <w:p>
      <w:pPr>
        <w:pStyle w:val="BodyText"/>
      </w:pPr>
      <w:r>
        <w:t xml:space="preserve">Consensus figures vary slightly by provider—another estimate is $1.95 and $22.58 billion—but the general bar is clear. (</w:t>
      </w:r>
      <w:hyperlink r:id="rId10">
        <w:r>
          <w:rPr>
            <w:rStyle w:val="Hyperlink"/>
          </w:rPr>
          <w:t xml:space="preserve">marketbeat.com</w:t>
        </w:r>
      </w:hyperlink>
      <w:r>
        <w:t xml:space="preserve">)</w:t>
      </w:r>
    </w:p>
    <w:p>
      <w:pPr>
        <w:pStyle w:val="BodyText"/>
      </w:pPr>
      <w:r>
        <w:t xml:space="preserve">The key setup is that</w:t>
      </w:r>
      <w:r>
        <w:t xml:space="preserve"> </w:t>
      </w:r>
      <w:r>
        <w:rPr>
          <w:b/>
          <w:bCs/>
        </w:rPr>
        <w:t xml:space="preserve">$1.97 is already the top of Bunge’s implied Q2 range</w:t>
      </w:r>
      <w:r>
        <w:t xml:space="preserve">. At the Q1 call, management said it expected approximately 40% of full-year earnings in the first half. Applying that to the</w:t>
      </w:r>
      <w:r>
        <w:t xml:space="preserve"> </w:t>
      </w:r>
      <m:oMath>
        <m:r>
          <m:t>9.00</m:t>
        </m:r>
        <m:r>
          <m:rPr>
            <m:sty m:val="p"/>
          </m:rPr>
          <m:t>–</m:t>
        </m:r>
      </m:oMath>
      <w:r>
        <w:t xml:space="preserve">9.50 outlook and subtracting Q1’s</w:t>
      </w:r>
      <w:r>
        <w:t xml:space="preserve"> </w:t>
      </w:r>
      <m:oMath>
        <m:r>
          <m:t>1.83</m:t>
        </m:r>
        <m:r>
          <m:t>p</m:t>
        </m:r>
        <m:r>
          <m:t>r</m:t>
        </m:r>
        <m:r>
          <m:t>o</m:t>
        </m:r>
        <m:r>
          <m:t>d</m:t>
        </m:r>
        <m:r>
          <m:t>u</m:t>
        </m:r>
        <m:r>
          <m:t>c</m:t>
        </m:r>
        <m:r>
          <m:t>e</m:t>
        </m:r>
        <m:r>
          <m:t>s</m:t>
        </m:r>
        <m:r>
          <m:t>i</m:t>
        </m:r>
        <m:r>
          <m:t>m</m:t>
        </m:r>
        <m:r>
          <m:t>p</m:t>
        </m:r>
        <m:r>
          <m:t>l</m:t>
        </m:r>
        <m:r>
          <m:t>i</m:t>
        </m:r>
        <m:r>
          <m:t>e</m:t>
        </m:r>
        <m:r>
          <m:t>d</m:t>
        </m:r>
        <m:r>
          <m:t>Q</m:t>
        </m:r>
        <m:r>
          <m:t>2</m:t>
        </m:r>
        <m:r>
          <m:t>a</m:t>
        </m:r>
        <m:r>
          <m:t>d</m:t>
        </m:r>
        <m:r>
          <m:t>j</m:t>
        </m:r>
        <m:r>
          <m:t>u</m:t>
        </m:r>
        <m:r>
          <m:t>s</m:t>
        </m:r>
        <m:r>
          <m:t>t</m:t>
        </m:r>
        <m:r>
          <m:t>e</m:t>
        </m:r>
        <m:r>
          <m:t>d</m:t>
        </m:r>
        <m:r>
          <m:t>E</m:t>
        </m:r>
        <m:r>
          <m:t>P</m:t>
        </m:r>
        <m:r>
          <m:t>S</m:t>
        </m:r>
        <m:r>
          <m:t>o</m:t>
        </m:r>
        <m:r>
          <m:t>f</m:t>
        </m:r>
        <m:r>
          <m:t>r</m:t>
        </m:r>
        <m:r>
          <m:t>o</m:t>
        </m:r>
        <m:r>
          <m:t>u</m:t>
        </m:r>
        <m:r>
          <m:t>g</m:t>
        </m:r>
        <m:r>
          <m:t>h</m:t>
        </m:r>
        <m:r>
          <m:t>l</m:t>
        </m:r>
        <m:r>
          <m:t>y</m:t>
        </m:r>
        <m:r>
          <m:rPr>
            <m:sty m:val="p"/>
          </m:rPr>
          <m:t>*</m:t>
        </m:r>
        <m:r>
          <m:rPr>
            <m:sty m:val="p"/>
          </m:rPr>
          <m:t>*</m:t>
        </m:r>
      </m:oMath>
      <w:r>
        <w:t xml:space="preserve">1.77–$1.97**. Thus, an in-line quarter would still represent execution at the upper end of the company’s prior cadence.</w:t>
      </w:r>
    </w:p>
    <w:bookmarkEnd w:id="11"/>
    <w:bookmarkStart w:id="14" w:name="the-numbers-may-be-unusually-misleading"/>
    <w:p>
      <w:pPr>
        <w:pStyle w:val="Heading2"/>
      </w:pPr>
      <w:r>
        <w:t xml:space="preserve">The numbers may be unusually misleading</w:t>
      </w:r>
    </w:p>
    <w:p>
      <w:pPr>
        <w:pStyle w:val="FirstParagraph"/>
      </w:pPr>
      <w:r>
        <w:t xml:space="preserve">This will be the first second-quarter report fully incorporating Viterra; the transaction closed on July 2, 2025, immediately after last year’s second quarter. Reported year-over-year revenue and volume growth will therefore be dominated by the enlarged company rather than organic growth. (</w:t>
      </w:r>
      <w:hyperlink r:id="rId12">
        <w:r>
          <w:rPr>
            <w:rStyle w:val="Hyperlink"/>
          </w:rPr>
          <w:t xml:space="preserve">investors.bunge.com</w:t>
        </w:r>
      </w:hyperlink>
      <w:r>
        <w:t xml:space="preserve">)</w:t>
      </w:r>
    </w:p>
    <w:p>
      <w:pPr>
        <w:pStyle w:val="BodyText"/>
      </w:pPr>
      <w:r>
        <w:t xml:space="preserve">Investors should place more weight on:</w:t>
      </w:r>
    </w:p>
    <w:p>
      <w:pPr>
        <w:pStyle w:val="Compact"/>
        <w:numPr>
          <w:ilvl w:val="0"/>
          <w:numId w:val="1001"/>
        </w:numPr>
      </w:pPr>
      <w:r>
        <w:rPr>
          <w:b/>
          <w:bCs/>
        </w:rPr>
        <w:t xml:space="preserve">Adjusted EPS and adjusted segment EBIT</w:t>
      </w:r>
    </w:p>
    <w:p>
      <w:pPr>
        <w:pStyle w:val="Compact"/>
        <w:numPr>
          <w:ilvl w:val="0"/>
          <w:numId w:val="1001"/>
        </w:numPr>
      </w:pPr>
      <w:r>
        <w:rPr>
          <w:b/>
          <w:bCs/>
        </w:rPr>
        <w:t xml:space="preserve">Oilseed-processing margins by region</w:t>
      </w:r>
    </w:p>
    <w:p>
      <w:pPr>
        <w:pStyle w:val="Compact"/>
        <w:numPr>
          <w:ilvl w:val="0"/>
          <w:numId w:val="1001"/>
        </w:numPr>
      </w:pPr>
      <w:r>
        <w:rPr>
          <w:b/>
          <w:bCs/>
        </w:rPr>
        <w:t xml:space="preserve">The full-year outlook and second-half cadence</w:t>
      </w:r>
    </w:p>
    <w:p>
      <w:pPr>
        <w:pStyle w:val="Compact"/>
        <w:numPr>
          <w:ilvl w:val="0"/>
          <w:numId w:val="1001"/>
        </w:numPr>
      </w:pPr>
      <w:r>
        <w:rPr>
          <w:b/>
          <w:bCs/>
        </w:rPr>
        <w:t xml:space="preserve">Viterra synergy realization</w:t>
      </w:r>
    </w:p>
    <w:p>
      <w:pPr>
        <w:pStyle w:val="Compact"/>
        <w:numPr>
          <w:ilvl w:val="0"/>
          <w:numId w:val="1001"/>
        </w:numPr>
      </w:pPr>
      <w:r>
        <w:rPr>
          <w:b/>
          <w:bCs/>
        </w:rPr>
        <w:t xml:space="preserve">Cash generation, working capital and leverage</w:t>
      </w:r>
    </w:p>
    <w:p>
      <w:pPr>
        <w:pStyle w:val="FirstParagraph"/>
      </w:pPr>
      <w:r>
        <w:t xml:space="preserve">Reported GAAP EPS could again be noisy. In Q1, Bunge reported GAAP EPS of only $0.35 but adjusted EPS of $1.83, primarily because of temporary commodity, freight and foreign-exchange mark-to-market timing effects. (</w:t>
      </w:r>
      <w:hyperlink r:id="rId13">
        <w:r>
          <w:rPr>
            <w:rStyle w:val="Hyperlink"/>
          </w:rPr>
          <w:t xml:space="preserve">investors.bunge.com</w:t>
        </w:r>
      </w:hyperlink>
      <w:r>
        <w:t xml:space="preserve">)</w:t>
      </w:r>
    </w:p>
    <w:bookmarkEnd w:id="14"/>
    <w:bookmarkStart w:id="16" w:name="Xbd079106c35563c9aad2f120967ff796e1d93b3"/>
    <w:p>
      <w:pPr>
        <w:pStyle w:val="Heading2"/>
      </w:pPr>
      <w:r>
        <w:t xml:space="preserve">The central question: How durable was Q1’s strength?</w:t>
      </w:r>
    </w:p>
    <w:p>
      <w:pPr>
        <w:pStyle w:val="FirstParagraph"/>
      </w:pPr>
      <w:r>
        <w:t xml:space="preserve">Bunge’s Q1 adjusted EPS of $1.83 significantly exceeded expectations and prompted management to raise full-year guidance from</w:t>
      </w:r>
      <w:r>
        <w:t xml:space="preserve"> </w:t>
      </w:r>
      <m:oMath>
        <m:r>
          <m:t>7.50</m:t>
        </m:r>
        <m:r>
          <m:rPr>
            <m:sty m:val="p"/>
          </m:rPr>
          <m:t>–</m:t>
        </m:r>
      </m:oMath>
      <w:r>
        <w:t xml:space="preserve">8.00 to</w:t>
      </w:r>
      <w:r>
        <w:t xml:space="preserve"> </w:t>
      </w:r>
      <m:oMath>
        <m:r>
          <m:t>9.00</m:t>
        </m:r>
        <m:r>
          <m:rPr>
            <m:sty m:val="p"/>
          </m:rPr>
          <m:t>–</m:t>
        </m:r>
      </m:oMath>
      <w:r>
        <w:t xml:space="preserve">9.50. Adjusted segment EBIT rose to $661 million from $406 million, led by Soybean Processing and Refining and Softseed Processing and Refining. (</w:t>
      </w:r>
      <w:hyperlink r:id="rId15">
        <w:r>
          <w:rPr>
            <w:rStyle w:val="Hyperlink"/>
          </w:rPr>
          <w:t xml:space="preserve">investors.bunge.com</w:t>
        </w:r>
      </w:hyperlink>
      <w:r>
        <w:t xml:space="preserve">)</w:t>
      </w:r>
    </w:p>
    <w:p>
      <w:pPr>
        <w:pStyle w:val="BodyText"/>
      </w:pPr>
      <w:r>
        <w:t xml:space="preserve">The quarter benefited from:</w:t>
      </w:r>
    </w:p>
    <w:p>
      <w:pPr>
        <w:pStyle w:val="Compact"/>
        <w:numPr>
          <w:ilvl w:val="0"/>
          <w:numId w:val="1002"/>
        </w:numPr>
      </w:pPr>
      <w:r>
        <w:t xml:space="preserve">Strong processing results in Argentina and Brazil</w:t>
      </w:r>
    </w:p>
    <w:p>
      <w:pPr>
        <w:pStyle w:val="Compact"/>
        <w:numPr>
          <w:ilvl w:val="0"/>
          <w:numId w:val="1002"/>
        </w:numPr>
      </w:pPr>
      <w:r>
        <w:t xml:space="preserve">Better North American soybean processing and refining</w:t>
      </w:r>
    </w:p>
    <w:p>
      <w:pPr>
        <w:pStyle w:val="Compact"/>
        <w:numPr>
          <w:ilvl w:val="0"/>
          <w:numId w:val="1002"/>
        </w:numPr>
      </w:pPr>
      <w:r>
        <w:t xml:space="preserve">Strong softseed performance across regions</w:t>
      </w:r>
    </w:p>
    <w:p>
      <w:pPr>
        <w:pStyle w:val="Compact"/>
        <w:numPr>
          <w:ilvl w:val="0"/>
          <w:numId w:val="1002"/>
        </w:numPr>
      </w:pPr>
      <w:r>
        <w:t xml:space="preserve">Favorable vegetable-oil and biofuel economics</w:t>
      </w:r>
    </w:p>
    <w:p>
      <w:pPr>
        <w:pStyle w:val="Compact"/>
        <w:numPr>
          <w:ilvl w:val="0"/>
          <w:numId w:val="1002"/>
        </w:numPr>
      </w:pPr>
      <w:r>
        <w:t xml:space="preserve">Better farmer selling and oilseed origination</w:t>
      </w:r>
    </w:p>
    <w:p>
      <w:pPr>
        <w:pStyle w:val="Compact"/>
        <w:numPr>
          <w:ilvl w:val="0"/>
          <w:numId w:val="1002"/>
        </w:numPr>
      </w:pPr>
      <w:r>
        <w:t xml:space="preserve">Expanded Viterra capacity and merchandising reach</w:t>
      </w:r>
    </w:p>
    <w:p>
      <w:pPr>
        <w:pStyle w:val="FirstParagraph"/>
      </w:pPr>
      <w:r>
        <w:t xml:space="preserve">But management repeatedly cautioned that forward processing curves were inverted and visibility into the second half was limited. Q2 should indicate whether Q1 was primarily an unusually favorable first-half event or the beginning of a more durable improvement in Bunge’s earnings power.</w:t>
      </w:r>
    </w:p>
    <w:bookmarkEnd w:id="16"/>
    <w:bookmarkStart w:id="21" w:name="segment-scorecard"/>
    <w:p>
      <w:pPr>
        <w:pStyle w:val="Heading2"/>
      </w:pPr>
      <w:r>
        <w:t xml:space="preserve">Segment scorecard</w:t>
      </w:r>
    </w:p>
    <w:bookmarkStart w:id="17" w:name="Xd4f8f78818307efc02f2296a22904598dea70a1"/>
    <w:p>
      <w:pPr>
        <w:pStyle w:val="Heading3"/>
      </w:pPr>
      <w:r>
        <w:t xml:space="preserve">1. Soybean Processing and Refining: Still the main earnings engine</w:t>
      </w:r>
    </w:p>
    <w:p>
      <w:pPr>
        <w:pStyle w:val="FirstParagraph"/>
      </w:pPr>
      <w:r>
        <w:t xml:space="preserve">This segment produced</w:t>
      </w:r>
      <w:r>
        <w:t xml:space="preserve"> </w:t>
      </w:r>
      <w:r>
        <w:rPr>
          <w:b/>
          <w:bCs/>
        </w:rPr>
        <w:t xml:space="preserve">$377 million of adjusted EBIT in Q1</w:t>
      </w:r>
      <w:r>
        <w:t xml:space="preserve">, up from $241 million a year earlier. Soybean processing volumes increased to 10.8 million metric tons, helped by the combined company’s larger Argentine footprint, while merchandising volumes more than doubled. (</w:t>
      </w:r>
      <w:hyperlink r:id="rId15">
        <w:r>
          <w:rPr>
            <w:rStyle w:val="Hyperlink"/>
          </w:rPr>
          <w:t xml:space="preserve">investors.bunge.com</w:t>
        </w:r>
      </w:hyperlink>
      <w:r>
        <w:t xml:space="preserve">)</w:t>
      </w:r>
    </w:p>
    <w:p>
      <w:pPr>
        <w:pStyle w:val="BodyText"/>
      </w:pPr>
      <w:r>
        <w:t xml:space="preserve">What to watch:</w:t>
      </w:r>
    </w:p>
    <w:p>
      <w:pPr>
        <w:pStyle w:val="Compact"/>
        <w:numPr>
          <w:ilvl w:val="0"/>
          <w:numId w:val="1003"/>
        </w:numPr>
      </w:pPr>
      <w:r>
        <w:t xml:space="preserve">Whether strong North and South American crush margins continued</w:t>
      </w:r>
    </w:p>
    <w:p>
      <w:pPr>
        <w:pStyle w:val="Compact"/>
        <w:numPr>
          <w:ilvl w:val="0"/>
          <w:numId w:val="1003"/>
        </w:numPr>
      </w:pPr>
      <w:r>
        <w:t xml:space="preserve">Argentine farmer selling and utilization of the Renova complex</w:t>
      </w:r>
    </w:p>
    <w:p>
      <w:pPr>
        <w:pStyle w:val="Compact"/>
        <w:numPr>
          <w:ilvl w:val="0"/>
          <w:numId w:val="1003"/>
        </w:numPr>
      </w:pPr>
      <w:r>
        <w:t xml:space="preserve">Brazilian origination and processing performance</w:t>
      </w:r>
    </w:p>
    <w:p>
      <w:pPr>
        <w:pStyle w:val="Compact"/>
        <w:numPr>
          <w:ilvl w:val="0"/>
          <w:numId w:val="1003"/>
        </w:numPr>
      </w:pPr>
      <w:r>
        <w:t xml:space="preserve">Refining premiums and demand from food and renewable-fuel customers</w:t>
      </w:r>
    </w:p>
    <w:p>
      <w:pPr>
        <w:pStyle w:val="Compact"/>
        <w:numPr>
          <w:ilvl w:val="0"/>
          <w:numId w:val="1003"/>
        </w:numPr>
      </w:pPr>
      <w:r>
        <w:t xml:space="preserve">Soybean-meal demand, which management said had continued to surprise positively</w:t>
      </w:r>
    </w:p>
    <w:p>
      <w:pPr>
        <w:pStyle w:val="FirstParagraph"/>
      </w:pPr>
      <w:r>
        <w:t xml:space="preserve">A healthy result should demonstrate that the earnings strength is coming from several parts of the value chain—origination, processing, oil merchandising and refining—rather than from one temporary margin spike.</w:t>
      </w:r>
    </w:p>
    <w:bookmarkEnd w:id="17"/>
    <w:bookmarkStart w:id="18" w:name="X4b2f7490808c18a286fcc60ba58223ff3b0d906"/>
    <w:p>
      <w:pPr>
        <w:pStyle w:val="Heading3"/>
      </w:pPr>
      <w:r>
        <w:t xml:space="preserve">2. Softseed Processing and Refining: Potentially another upside source</w:t>
      </w:r>
    </w:p>
    <w:p>
      <w:pPr>
        <w:pStyle w:val="FirstParagraph"/>
      </w:pPr>
      <w:r>
        <w:t xml:space="preserve">Q1 adjusted EBIT was</w:t>
      </w:r>
      <w:r>
        <w:t xml:space="preserve"> </w:t>
      </w:r>
      <w:r>
        <w:rPr>
          <w:b/>
          <w:bCs/>
        </w:rPr>
        <w:t xml:space="preserve">$195 million</w:t>
      </w:r>
      <w:r>
        <w:t xml:space="preserve">, more than double the prior-year figure. Bunge cited better performance in Argentina, North America and Europe, along with increased origination in Canada and Australia. (</w:t>
      </w:r>
      <w:hyperlink r:id="rId15">
        <w:r>
          <w:rPr>
            <w:rStyle w:val="Hyperlink"/>
          </w:rPr>
          <w:t xml:space="preserve">investors.bunge.com</w:t>
        </w:r>
      </w:hyperlink>
      <w:r>
        <w:t xml:space="preserve">)</w:t>
      </w:r>
    </w:p>
    <w:p>
      <w:pPr>
        <w:pStyle w:val="BodyText"/>
      </w:pPr>
      <w:r>
        <w:t xml:space="preserve">Key variables include:</w:t>
      </w:r>
    </w:p>
    <w:p>
      <w:pPr>
        <w:pStyle w:val="Compact"/>
        <w:numPr>
          <w:ilvl w:val="0"/>
          <w:numId w:val="1004"/>
        </w:numPr>
      </w:pPr>
      <w:r>
        <w:t xml:space="preserve">North American canola margins</w:t>
      </w:r>
    </w:p>
    <w:p>
      <w:pPr>
        <w:pStyle w:val="Compact"/>
        <w:numPr>
          <w:ilvl w:val="0"/>
          <w:numId w:val="1004"/>
        </w:numPr>
      </w:pPr>
      <w:r>
        <w:t xml:space="preserve">European rapeseed and sunflower-seed availability</w:t>
      </w:r>
    </w:p>
    <w:p>
      <w:pPr>
        <w:pStyle w:val="Compact"/>
        <w:numPr>
          <w:ilvl w:val="0"/>
          <w:numId w:val="1004"/>
        </w:numPr>
      </w:pPr>
      <w:r>
        <w:t xml:space="preserve">Biodiesel economics</w:t>
      </w:r>
    </w:p>
    <w:p>
      <w:pPr>
        <w:pStyle w:val="Compact"/>
        <w:numPr>
          <w:ilvl w:val="0"/>
          <w:numId w:val="1004"/>
        </w:numPr>
      </w:pPr>
      <w:r>
        <w:t xml:space="preserve">The development of Europe’s new softseed crop</w:t>
      </w:r>
    </w:p>
    <w:p>
      <w:pPr>
        <w:pStyle w:val="Compact"/>
        <w:numPr>
          <w:ilvl w:val="0"/>
          <w:numId w:val="1004"/>
        </w:numPr>
      </w:pPr>
      <w:r>
        <w:t xml:space="preserve">Bunge’s ability to use its Argentine and European sunflower networks to provide year-round supply</w:t>
      </w:r>
    </w:p>
    <w:p>
      <w:pPr>
        <w:pStyle w:val="FirstParagraph"/>
      </w:pPr>
      <w:r>
        <w:t xml:space="preserve">Management previously indicated that average softseed curves had improved, particularly in North America, but European margins remained dependent on a better new crop.</w:t>
      </w:r>
    </w:p>
    <w:bookmarkEnd w:id="18"/>
    <w:bookmarkStart w:id="19" w:name="X2224590b5cb447ffcb51dec01aa45238733e521"/>
    <w:p>
      <w:pPr>
        <w:pStyle w:val="Heading3"/>
      </w:pPr>
      <w:r>
        <w:t xml:space="preserve">3. Grain Merchandising and Milling: The clearest recovery opportunity</w:t>
      </w:r>
    </w:p>
    <w:p>
      <w:pPr>
        <w:pStyle w:val="FirstParagraph"/>
      </w:pPr>
      <w:r>
        <w:t xml:space="preserve">Grain was Q1’s weak point. Adjusted EBIT declined to</w:t>
      </w:r>
      <w:r>
        <w:t xml:space="preserve"> </w:t>
      </w:r>
      <w:r>
        <w:rPr>
          <w:b/>
          <w:bCs/>
        </w:rPr>
        <w:t xml:space="preserve">$44 million from $60 million</w:t>
      </w:r>
      <w:r>
        <w:t xml:space="preserve">, with higher wheat milling, cotton and commercial-services earnings offset by poor ocean-freight results following a spike in bunker-fuel costs. (</w:t>
      </w:r>
      <w:hyperlink r:id="rId15">
        <w:r>
          <w:rPr>
            <w:rStyle w:val="Hyperlink"/>
          </w:rPr>
          <w:t xml:space="preserve">investors.bunge.com</w:t>
        </w:r>
      </w:hyperlink>
      <w:r>
        <w:t xml:space="preserve">)</w:t>
      </w:r>
    </w:p>
    <w:p>
      <w:pPr>
        <w:pStyle w:val="BodyText"/>
      </w:pPr>
      <w:r>
        <w:t xml:space="preserve">A sequential recovery would be encouraging, but this remains Bunge’s least predictable segment. Investors should listen for:</w:t>
      </w:r>
    </w:p>
    <w:p>
      <w:pPr>
        <w:pStyle w:val="Compact"/>
        <w:numPr>
          <w:ilvl w:val="0"/>
          <w:numId w:val="1005"/>
        </w:numPr>
      </w:pPr>
      <w:r>
        <w:t xml:space="preserve">Whether ocean-freight losses normalized</w:t>
      </w:r>
    </w:p>
    <w:p>
      <w:pPr>
        <w:pStyle w:val="Compact"/>
        <w:numPr>
          <w:ilvl w:val="0"/>
          <w:numId w:val="1005"/>
        </w:numPr>
      </w:pPr>
      <w:r>
        <w:t xml:space="preserve">Storage and merchandising opportunities from large grain crops</w:t>
      </w:r>
    </w:p>
    <w:p>
      <w:pPr>
        <w:pStyle w:val="Compact"/>
        <w:numPr>
          <w:ilvl w:val="0"/>
          <w:numId w:val="1005"/>
        </w:numPr>
      </w:pPr>
      <w:r>
        <w:t xml:space="preserve">Farmer-selling activity</w:t>
      </w:r>
    </w:p>
    <w:p>
      <w:pPr>
        <w:pStyle w:val="Compact"/>
        <w:numPr>
          <w:ilvl w:val="0"/>
          <w:numId w:val="1005"/>
        </w:numPr>
      </w:pPr>
      <w:r>
        <w:t xml:space="preserve">China-related corn, soybean and grain flows</w:t>
      </w:r>
    </w:p>
    <w:p>
      <w:pPr>
        <w:pStyle w:val="Compact"/>
        <w:numPr>
          <w:ilvl w:val="0"/>
          <w:numId w:val="1005"/>
        </w:numPr>
      </w:pPr>
      <w:r>
        <w:t xml:space="preserve">Evidence that Viterra’s storage, port and origination assets are producing network benefits</w:t>
      </w:r>
    </w:p>
    <w:p>
      <w:pPr>
        <w:pStyle w:val="FirstParagraph"/>
      </w:pPr>
      <w:r>
        <w:t xml:space="preserve">This segment is also where many of the less easily quantified Viterra commercial synergies should eventually appear.</w:t>
      </w:r>
    </w:p>
    <w:bookmarkEnd w:id="19"/>
    <w:bookmarkStart w:id="20" w:name="X2709b92163bc5d33e12f07fcfb165a3a524ef1a"/>
    <w:p>
      <w:pPr>
        <w:pStyle w:val="Heading3"/>
      </w:pPr>
      <w:r>
        <w:t xml:space="preserve">4. Tropical Oils and Specialty Ingredients: Expectations are already restrained</w:t>
      </w:r>
    </w:p>
    <w:p>
      <w:pPr>
        <w:pStyle w:val="FirstParagraph"/>
      </w:pPr>
      <w:r>
        <w:t xml:space="preserve">Management lowered its full-year expectations for this segment after Q1, citing softer food-customer volumes, weaker cocoa-butter-equivalent margins, tariff uncertainty and customers remaining shorter-bought.</w:t>
      </w:r>
    </w:p>
    <w:p>
      <w:pPr>
        <w:pStyle w:val="BodyText"/>
      </w:pPr>
      <w:r>
        <w:t xml:space="preserve">The bar is therefore lower, but investors will want to see that weakness is contained. Updates on the newly acquired IFF soy-protein assets and the commissioning of the Morristown soy-protein facility would help reinforce the longer-term specialty-ingredients story.</w:t>
      </w:r>
    </w:p>
    <w:bookmarkEnd w:id="20"/>
    <w:bookmarkEnd w:id="21"/>
    <w:bookmarkStart w:id="22" w:name="X9d4a9704e96e2674e165fc54a0ef76a351b5f1c"/>
    <w:p>
      <w:pPr>
        <w:pStyle w:val="Heading2"/>
      </w:pPr>
      <w:r>
        <w:t xml:space="preserve">Guidance is more important than the quarterly beat</w:t>
      </w:r>
    </w:p>
    <w:p>
      <w:pPr>
        <w:pStyle w:val="FirstParagraph"/>
      </w:pPr>
      <w:r>
        <w:t xml:space="preserve">If Bunge reports the $1.97 consensus and maintains its</w:t>
      </w:r>
      <w:r>
        <w:t xml:space="preserve"> </w:t>
      </w:r>
      <m:oMath>
        <m:r>
          <m:t>9.00</m:t>
        </m:r>
        <m:r>
          <m:rPr>
            <m:sty m:val="p"/>
          </m:rPr>
          <m:t>–</m:t>
        </m:r>
      </m:oMath>
      <w:r>
        <w:t xml:space="preserve">9.50 guidance, it would need to earn approximately</w:t>
      </w:r>
      <w:r>
        <w:t xml:space="preserve"> </w:t>
      </w:r>
      <m:oMath>
        <m:r>
          <m:t>5.20</m:t>
        </m:r>
        <m:r>
          <m:rPr>
            <m:sty m:val="p"/>
          </m:rPr>
          <m:t>–</m:t>
        </m:r>
      </m:oMath>
      <w:r>
        <w:rPr>
          <w:b/>
          <w:bCs/>
        </w:rPr>
        <w:t xml:space="preserve">5.70 in the second half</w:t>
      </w:r>
      <w:r>
        <w:t xml:space="preserve">.</w:t>
      </w:r>
    </w:p>
    <w:p>
      <w:pPr>
        <w:pStyle w:val="BodyText"/>
      </w:pPr>
      <w:r>
        <w:t xml:space="preserve">Management previously indicated a roughly 45%/55% Q3/Q4 split within second-half earnings. Applied mechanically, that suggests:</w:t>
      </w:r>
    </w:p>
    <w:p>
      <w:pPr>
        <w:pStyle w:val="Compact"/>
        <w:numPr>
          <w:ilvl w:val="0"/>
          <w:numId w:val="1006"/>
        </w:numPr>
      </w:pPr>
      <w:r>
        <w:rPr>
          <w:b/>
          <w:bCs/>
        </w:rPr>
        <w:t xml:space="preserve">Q3:</w:t>
      </w:r>
      <w:r>
        <w:t xml:space="preserve"> </w:t>
      </w:r>
      <w:r>
        <w:t xml:space="preserve">approximately</w:t>
      </w:r>
      <w:r>
        <w:t xml:space="preserve"> </w:t>
      </w:r>
      <m:oMath>
        <m:r>
          <m:t>2.34</m:t>
        </m:r>
        <m:r>
          <m:rPr>
            <m:sty m:val="p"/>
          </m:rPr>
          <m:t>–</m:t>
        </m:r>
      </m:oMath>
      <w:r>
        <w:t xml:space="preserve">2.57</w:t>
      </w:r>
    </w:p>
    <w:p>
      <w:pPr>
        <w:pStyle w:val="Compact"/>
        <w:numPr>
          <w:ilvl w:val="0"/>
          <w:numId w:val="1006"/>
        </w:numPr>
      </w:pPr>
      <w:r>
        <w:rPr>
          <w:b/>
          <w:bCs/>
        </w:rPr>
        <w:t xml:space="preserve">Q4:</w:t>
      </w:r>
      <w:r>
        <w:t xml:space="preserve"> </w:t>
      </w:r>
      <w:r>
        <w:t xml:space="preserve">approximately</w:t>
      </w:r>
      <w:r>
        <w:t xml:space="preserve"> </w:t>
      </w:r>
      <m:oMath>
        <m:r>
          <m:t>2.86</m:t>
        </m:r>
        <m:r>
          <m:rPr>
            <m:sty m:val="p"/>
          </m:rPr>
          <m:t>–</m:t>
        </m:r>
      </m:oMath>
      <w:r>
        <w:t xml:space="preserve">3.14</w:t>
      </w:r>
    </w:p>
    <w:p>
      <w:pPr>
        <w:pStyle w:val="FirstParagraph"/>
      </w:pPr>
      <w:r>
        <w:t xml:space="preserve">That is a demanding, back-end-weighted profile. The market will therefore need convincing explanations around booked margins, forward curves, crop availability and synergy realization. Simply maintaining guidance without increased visibility could be viewed less favorably than maintaining guidance with evidence that more of the second-half earnings are contracted or operationally controlled.</w:t>
      </w:r>
    </w:p>
    <w:bookmarkEnd w:id="22"/>
    <w:bookmarkStart w:id="24" w:name="Xf59eb485853359a28372756df53496aebf035a8"/>
    <w:p>
      <w:pPr>
        <w:pStyle w:val="Heading2"/>
      </w:pPr>
      <w:r>
        <w:t xml:space="preserve">Viterra integration: The most important company-specific catalyst</w:t>
      </w:r>
    </w:p>
    <w:p>
      <w:pPr>
        <w:pStyle w:val="FirstParagraph"/>
      </w:pPr>
      <w:r>
        <w:t xml:space="preserve">At its March Investor Day, Bunge raised its expected annual cost synergies from the original</w:t>
      </w:r>
      <w:r>
        <w:t xml:space="preserve"> </w:t>
      </w:r>
      <m:oMath>
        <m:r>
          <m:t>250</m:t>
        </m:r>
        <m:r>
          <m:t>m</m:t>
        </m:r>
        <m:r>
          <m:t>i</m:t>
        </m:r>
        <m:r>
          <m:t>l</m:t>
        </m:r>
        <m:r>
          <m:t>l</m:t>
        </m:r>
        <m:r>
          <m:t>i</m:t>
        </m:r>
        <m:r>
          <m:t>o</m:t>
        </m:r>
        <m:r>
          <m:t>n</m:t>
        </m:r>
        <m:r>
          <m:t>t</m:t>
        </m:r>
        <m:r>
          <m:t>a</m:t>
        </m:r>
        <m:r>
          <m:t>r</m:t>
        </m:r>
        <m:r>
          <m:t>g</m:t>
        </m:r>
        <m:r>
          <m:t>e</m:t>
        </m:r>
        <m:r>
          <m:t>t</m:t>
        </m:r>
        <m:r>
          <m:t>t</m:t>
        </m:r>
        <m:r>
          <m:t>o</m:t>
        </m:r>
        <m:r>
          <m:t>a</m:t>
        </m:r>
        <m:r>
          <m:t>p</m:t>
        </m:r>
        <m:r>
          <m:t>p</m:t>
        </m:r>
        <m:r>
          <m:t>r</m:t>
        </m:r>
        <m:r>
          <m:t>o</m:t>
        </m:r>
        <m:r>
          <m:t>x</m:t>
        </m:r>
        <m:r>
          <m:t>i</m:t>
        </m:r>
        <m:r>
          <m:t>m</m:t>
        </m:r>
        <m:r>
          <m:t>a</m:t>
        </m:r>
        <m:r>
          <m:t>t</m:t>
        </m:r>
        <m:r>
          <m:t>e</m:t>
        </m:r>
        <m:r>
          <m:t>l</m:t>
        </m:r>
        <m:r>
          <m:t>y</m:t>
        </m:r>
        <m:r>
          <m:rPr>
            <m:sty m:val="p"/>
          </m:rPr>
          <m:t>*</m:t>
        </m:r>
        <m:r>
          <m:rPr>
            <m:sty m:val="p"/>
          </m:rPr>
          <m:t>*</m:t>
        </m:r>
      </m:oMath>
      <w:r>
        <w:t xml:space="preserve">350 million**. Management also identified roughly</w:t>
      </w:r>
      <w:r>
        <w:t xml:space="preserve"> </w:t>
      </w:r>
      <m:oMath>
        <m:r>
          <m:t>250</m:t>
        </m:r>
        <m:r>
          <m:rPr>
            <m:sty m:val="p"/>
          </m:rPr>
          <m:t>–</m:t>
        </m:r>
      </m:oMath>
      <w:r>
        <w:rPr>
          <w:b/>
          <w:bCs/>
        </w:rPr>
        <w:t xml:space="preserve">300 million of commercial and network opportunities</w:t>
      </w:r>
      <w:r>
        <w:t xml:space="preserve">, although some of these are harder to measure quarter by quarter.</w:t>
      </w:r>
    </w:p>
    <w:p>
      <w:pPr>
        <w:pStyle w:val="BodyText"/>
      </w:pPr>
      <w:r>
        <w:t xml:space="preserve">The company included about $190 million of cost synergies and</w:t>
      </w:r>
      <w:r>
        <w:t xml:space="preserve"> </w:t>
      </w:r>
      <m:oMath>
        <m:r>
          <m:t>90</m:t>
        </m:r>
        <m:r>
          <m:t>m</m:t>
        </m:r>
        <m:r>
          <m:t>i</m:t>
        </m:r>
        <m:r>
          <m:t>l</m:t>
        </m:r>
        <m:r>
          <m:t>l</m:t>
        </m:r>
        <m:r>
          <m:t>i</m:t>
        </m:r>
        <m:r>
          <m:t>o</m:t>
        </m:r>
        <m:r>
          <m:t>n</m:t>
        </m:r>
        <m:r>
          <m:t>o</m:t>
        </m:r>
        <m:r>
          <m:t>f</m:t>
        </m:r>
        <m:r>
          <m:t>c</m:t>
        </m:r>
        <m:r>
          <m:t>o</m:t>
        </m:r>
        <m:r>
          <m:t>m</m:t>
        </m:r>
        <m:r>
          <m:t>m</m:t>
        </m:r>
        <m:r>
          <m:t>e</m:t>
        </m:r>
        <m:r>
          <m:t>r</m:t>
        </m:r>
        <m:r>
          <m:t>c</m:t>
        </m:r>
        <m:r>
          <m:t>i</m:t>
        </m:r>
        <m:r>
          <m:t>a</m:t>
        </m:r>
        <m:r>
          <m:t>l</m:t>
        </m:r>
        <m:r>
          <m:t>s</m:t>
        </m:r>
        <m:r>
          <m:t>y</m:t>
        </m:r>
        <m:r>
          <m:t>n</m:t>
        </m:r>
        <m:r>
          <m:t>e</m:t>
        </m:r>
        <m:r>
          <m:t>r</m:t>
        </m:r>
        <m:r>
          <m:t>g</m:t>
        </m:r>
        <m:r>
          <m:t>i</m:t>
        </m:r>
        <m:r>
          <m:t>e</m:t>
        </m:r>
        <m:r>
          <m:t>s</m:t>
        </m:r>
        <m:r>
          <m:t>i</m:t>
        </m:r>
        <m:r>
          <m:t>n</m:t>
        </m:r>
        <m:r>
          <m:t>i</m:t>
        </m:r>
        <m:r>
          <m:t>t</m:t>
        </m:r>
        <m:r>
          <m:t>s</m:t>
        </m:r>
        <m:r>
          <m:t>2026</m:t>
        </m:r>
        <m:r>
          <m:t>p</m:t>
        </m:r>
        <m:r>
          <m:t>l</m:t>
        </m:r>
        <m:r>
          <m:t>a</m:t>
        </m:r>
        <m:r>
          <m:t>n</m:t>
        </m:r>
        <m:r>
          <m:t>n</m:t>
        </m:r>
        <m:r>
          <m:t>i</m:t>
        </m:r>
        <m:r>
          <m:t>n</m:t>
        </m:r>
        <m:r>
          <m:t>g</m:t>
        </m:r>
        <m:r>
          <m:t>a</m:t>
        </m:r>
        <m:r>
          <m:t>s</m:t>
        </m:r>
        <m:r>
          <m:t>s</m:t>
        </m:r>
        <m:r>
          <m:t>u</m:t>
        </m:r>
        <m:r>
          <m:t>m</m:t>
        </m:r>
        <m:r>
          <m:t>p</m:t>
        </m:r>
        <m:r>
          <m:t>t</m:t>
        </m:r>
        <m:r>
          <m:t>i</m:t>
        </m:r>
        <m:r>
          <m:t>o</m:t>
        </m:r>
        <m:r>
          <m:t>n</m:t>
        </m:r>
        <m:r>
          <m:t>s</m:t>
        </m:r>
        <m:r>
          <m:rPr>
            <m:sty m:val="p"/>
          </m:rPr>
          <m:t>,</m:t>
        </m:r>
        <m:r>
          <m:t>a</m:t>
        </m:r>
        <m:r>
          <m:t>n</m:t>
        </m:r>
        <m:r>
          <m:t>d</m:t>
        </m:r>
        <m:r>
          <m:t>s</m:t>
        </m:r>
        <m:r>
          <m:t>a</m:t>
        </m:r>
        <m:r>
          <m:t>i</m:t>
        </m:r>
        <m:r>
          <m:t>d</m:t>
        </m:r>
        <m:r>
          <m:t>i</m:t>
        </m:r>
        <m:r>
          <m:t>n</m:t>
        </m:r>
        <m:r>
          <m:t>A</m:t>
        </m:r>
        <m:r>
          <m:t>p</m:t>
        </m:r>
        <m:r>
          <m:t>r</m:t>
        </m:r>
        <m:r>
          <m:t>i</m:t>
        </m:r>
        <m:r>
          <m:t>l</m:t>
        </m:r>
        <m:r>
          <m:t>t</m:t>
        </m:r>
        <m:r>
          <m:t>h</m:t>
        </m:r>
        <m:r>
          <m:t>a</m:t>
        </m:r>
        <m:r>
          <m:t>t</m:t>
        </m:r>
        <m:r>
          <m:t>c</m:t>
        </m:r>
        <m:r>
          <m:t>o</m:t>
        </m:r>
        <m:r>
          <m:t>s</m:t>
        </m:r>
        <m:r>
          <m:t>t</m:t>
        </m:r>
        <m:r>
          <m:t>r</m:t>
        </m:r>
        <m:r>
          <m:t>e</m:t>
        </m:r>
        <m:r>
          <m:t>a</m:t>
        </m:r>
        <m:r>
          <m:t>l</m:t>
        </m:r>
        <m:r>
          <m:t>i</m:t>
        </m:r>
        <m:r>
          <m:t>z</m:t>
        </m:r>
        <m:r>
          <m:t>a</m:t>
        </m:r>
        <m:r>
          <m:t>t</m:t>
        </m:r>
        <m:r>
          <m:t>i</m:t>
        </m:r>
        <m:r>
          <m:t>o</m:t>
        </m:r>
        <m:r>
          <m:t>n</m:t>
        </m:r>
        <m:r>
          <m:t>w</m:t>
        </m:r>
        <m:r>
          <m:t>a</m:t>
        </m:r>
        <m:r>
          <m:t>s</m:t>
        </m:r>
        <m:r>
          <m:t>r</m:t>
        </m:r>
        <m:r>
          <m:t>u</m:t>
        </m:r>
        <m:r>
          <m:t>n</m:t>
        </m:r>
        <m:r>
          <m:t>n</m:t>
        </m:r>
        <m:r>
          <m:t>i</m:t>
        </m:r>
        <m:r>
          <m:t>n</m:t>
        </m:r>
        <m:r>
          <m:t>g</m:t>
        </m:r>
        <m:r>
          <m:t>a</m:t>
        </m:r>
        <m:r>
          <m:t>h</m:t>
        </m:r>
        <m:r>
          <m:t>e</m:t>
        </m:r>
        <m:r>
          <m:t>a</m:t>
        </m:r>
        <m:r>
          <m:t>d</m:t>
        </m:r>
        <m:r>
          <m:t>o</m:t>
        </m:r>
        <m:r>
          <m:t>f</m:t>
        </m:r>
        <m:r>
          <m:t>p</m:t>
        </m:r>
        <m:r>
          <m:t>l</m:t>
        </m:r>
        <m:r>
          <m:t>a</m:t>
        </m:r>
        <m:r>
          <m:t>n</m:t>
        </m:r>
        <m:r>
          <m:rPr>
            <m:sty m:val="p"/>
          </m:rPr>
          <m:t>.</m:t>
        </m:r>
        <m:r>
          <m:t>B</m:t>
        </m:r>
        <m:r>
          <m:t>u</m:t>
        </m:r>
        <m:r>
          <m:t>n</m:t>
        </m:r>
        <m:r>
          <m:t>g</m:t>
        </m:r>
        <m:r>
          <m:t>e</m:t>
        </m:r>
        <m:r>
          <m:t>a</m:t>
        </m:r>
        <m:r>
          <m:t>l</m:t>
        </m:r>
        <m:r>
          <m:t>s</m:t>
        </m:r>
        <m:r>
          <m:t>o</m:t>
        </m:r>
        <m:r>
          <m:t>s</m:t>
        </m:r>
        <m:r>
          <m:t>e</m:t>
        </m:r>
        <m:r>
          <m:t>t</m:t>
        </m:r>
        <m:r>
          <m:t>a</m:t>
        </m:r>
        <m:r>
          <m:t>l</m:t>
        </m:r>
        <m:r>
          <m:t>o</m:t>
        </m:r>
        <m:r>
          <m:t>n</m:t>
        </m:r>
        <m:r>
          <m:t>g</m:t>
        </m:r>
        <m:r>
          <m:rPr>
            <m:sty m:val="p"/>
          </m:rPr>
          <m:t>−</m:t>
        </m:r>
        <m:r>
          <m:t>t</m:t>
        </m:r>
        <m:r>
          <m:t>e</m:t>
        </m:r>
        <m:r>
          <m:t>r</m:t>
        </m:r>
        <m:r>
          <m:t>m</m:t>
        </m:r>
        <m:r>
          <m:t>o</m:t>
        </m:r>
        <m:r>
          <m:t>b</m:t>
        </m:r>
        <m:r>
          <m:t>j</m:t>
        </m:r>
        <m:r>
          <m:t>e</m:t>
        </m:r>
        <m:r>
          <m:t>c</m:t>
        </m:r>
        <m:r>
          <m:t>t</m:t>
        </m:r>
        <m:r>
          <m:t>i</m:t>
        </m:r>
        <m:r>
          <m:t>v</m:t>
        </m:r>
        <m:r>
          <m:t>e</m:t>
        </m:r>
        <m:r>
          <m:t>o</m:t>
        </m:r>
        <m:r>
          <m:t>f</m:t>
        </m:r>
        <m:r>
          <m:t>m</m:t>
        </m:r>
        <m:r>
          <m:t>o</m:t>
        </m:r>
        <m:r>
          <m:t>r</m:t>
        </m:r>
        <m:r>
          <m:t>e</m:t>
        </m:r>
        <m:r>
          <m:t>t</m:t>
        </m:r>
        <m:r>
          <m:t>h</m:t>
        </m:r>
        <m:r>
          <m:t>a</m:t>
        </m:r>
        <m:r>
          <m:t>n</m:t>
        </m:r>
        <m:r>
          <m:rPr>
            <m:sty m:val="p"/>
          </m:rPr>
          <m:t>*</m:t>
        </m:r>
        <m:r>
          <m:rPr>
            <m:sty m:val="p"/>
          </m:rPr>
          <m:t>*</m:t>
        </m:r>
      </m:oMath>
      <w:r>
        <w:t xml:space="preserve">15 of mid-cycle adjusted EPS by 2030**, supported by synergies, projects, normalized margins and capital allocation. (</w:t>
      </w:r>
      <w:hyperlink r:id="rId23">
        <w:r>
          <w:rPr>
            <w:rStyle w:val="Hyperlink"/>
          </w:rPr>
          <w:t xml:space="preserve">investors.bunge.com</w:t>
        </w:r>
      </w:hyperlink>
      <w:r>
        <w:t xml:space="preserve">)</w:t>
      </w:r>
    </w:p>
    <w:p>
      <w:pPr>
        <w:pStyle w:val="BodyText"/>
      </w:pPr>
      <w:r>
        <w:t xml:space="preserve">Questions investors should want answered:</w:t>
      </w:r>
    </w:p>
    <w:p>
      <w:pPr>
        <w:pStyle w:val="Compact"/>
        <w:numPr>
          <w:ilvl w:val="0"/>
          <w:numId w:val="1007"/>
        </w:numPr>
      </w:pPr>
      <w:r>
        <w:t xml:space="preserve">What is the current annualized cost-synergy run rate?</w:t>
      </w:r>
    </w:p>
    <w:p>
      <w:pPr>
        <w:pStyle w:val="Compact"/>
        <w:numPr>
          <w:ilvl w:val="0"/>
          <w:numId w:val="1007"/>
        </w:numPr>
      </w:pPr>
      <w:r>
        <w:t xml:space="preserve">Has management identified additional savings since April?</w:t>
      </w:r>
    </w:p>
    <w:p>
      <w:pPr>
        <w:pStyle w:val="Compact"/>
        <w:numPr>
          <w:ilvl w:val="0"/>
          <w:numId w:val="1007"/>
        </w:numPr>
      </w:pPr>
      <w:r>
        <w:t xml:space="preserve">Are commercial synergies translating into measurable segment EBIT?</w:t>
      </w:r>
    </w:p>
    <w:p>
      <w:pPr>
        <w:pStyle w:val="Compact"/>
        <w:numPr>
          <w:ilvl w:val="0"/>
          <w:numId w:val="1007"/>
        </w:numPr>
      </w:pPr>
      <w:r>
        <w:t xml:space="preserve">Is the systems integration still on schedule to be largely completed during 2026?</w:t>
      </w:r>
    </w:p>
    <w:p>
      <w:pPr>
        <w:pStyle w:val="Compact"/>
        <w:numPr>
          <w:ilvl w:val="0"/>
          <w:numId w:val="1007"/>
        </w:numPr>
      </w:pPr>
      <w:r>
        <w:t xml:space="preserve">Is the remaining $250 million merger-related repurchase still on track for this year?</w:t>
      </w:r>
    </w:p>
    <w:bookmarkEnd w:id="24"/>
    <w:bookmarkStart w:id="26" w:name="cash-flow-and-balance-sheet-items"/>
    <w:p>
      <w:pPr>
        <w:pStyle w:val="Heading2"/>
      </w:pPr>
      <w:r>
        <w:t xml:space="preserve">Cash flow and balance-sheet items</w:t>
      </w:r>
    </w:p>
    <w:p>
      <w:pPr>
        <w:pStyle w:val="FirstParagraph"/>
      </w:pPr>
      <w:r>
        <w:t xml:space="preserve">Q1 adjusted funds from operations were $530 million, while operating cash flow was negative because of working-capital movements. Bunge ended the quarter with adjusted leverage of 1.6 times and approximately $9.7 billion of unused committed credit facilities.</w:t>
      </w:r>
    </w:p>
    <w:p>
      <w:pPr>
        <w:pStyle w:val="BodyText"/>
      </w:pPr>
      <w:r>
        <w:t xml:space="preserve">Management expects:</w:t>
      </w:r>
    </w:p>
    <w:p>
      <w:pPr>
        <w:pStyle w:val="Compact"/>
        <w:numPr>
          <w:ilvl w:val="0"/>
          <w:numId w:val="1008"/>
        </w:numPr>
      </w:pPr>
      <w:r>
        <w:rPr>
          <w:b/>
          <w:bCs/>
        </w:rPr>
        <w:t xml:space="preserve">2026 capital expenditures:</w:t>
      </w:r>
      <w:r>
        <w:t xml:space="preserve"> </w:t>
      </w:r>
      <m:oMath>
        <m:r>
          <m:t>1.5</m:t>
        </m:r>
        <m:r>
          <m:rPr>
            <m:sty m:val="p"/>
          </m:rPr>
          <m:t>–</m:t>
        </m:r>
      </m:oMath>
      <w:r>
        <w:t xml:space="preserve">1.7 billion</w:t>
      </w:r>
    </w:p>
    <w:p>
      <w:pPr>
        <w:pStyle w:val="Compact"/>
        <w:numPr>
          <w:ilvl w:val="0"/>
          <w:numId w:val="1008"/>
        </w:numPr>
      </w:pPr>
      <w:r>
        <w:rPr>
          <w:b/>
          <w:bCs/>
        </w:rPr>
        <w:t xml:space="preserve">Net interest expense:</w:t>
      </w:r>
      <w:r>
        <w:t xml:space="preserve"> </w:t>
      </w:r>
      <m:oMath>
        <m:r>
          <m:t>620</m:t>
        </m:r>
        <m:r>
          <m:rPr>
            <m:sty m:val="p"/>
          </m:rPr>
          <m:t>–</m:t>
        </m:r>
      </m:oMath>
      <w:r>
        <w:t xml:space="preserve">660 million</w:t>
      </w:r>
    </w:p>
    <w:p>
      <w:pPr>
        <w:pStyle w:val="Compact"/>
        <w:numPr>
          <w:ilvl w:val="0"/>
          <w:numId w:val="1008"/>
        </w:numPr>
      </w:pPr>
      <w:r>
        <w:rPr>
          <w:b/>
          <w:bCs/>
        </w:rPr>
        <w:t xml:space="preserve">Adjusted tax rate:</w:t>
      </w:r>
      <w:r>
        <w:t xml:space="preserve"> </w:t>
      </w:r>
      <w:r>
        <w:t xml:space="preserve">22%–26%</w:t>
      </w:r>
    </w:p>
    <w:p>
      <w:pPr>
        <w:pStyle w:val="Compact"/>
        <w:numPr>
          <w:ilvl w:val="0"/>
          <w:numId w:val="1008"/>
        </w:numPr>
      </w:pPr>
      <w:r>
        <w:rPr>
          <w:b/>
          <w:bCs/>
        </w:rPr>
        <w:t xml:space="preserve">Depreciation and amortization:</w:t>
      </w:r>
      <w:r>
        <w:t xml:space="preserve"> </w:t>
      </w:r>
      <w:r>
        <w:t xml:space="preserve">approximately $975 million</w:t>
      </w:r>
    </w:p>
    <w:p>
      <w:pPr>
        <w:pStyle w:val="FirstParagraph"/>
      </w:pPr>
      <w:r>
        <w:t xml:space="preserve">Higher commodity prices and a larger merchandising platform can consume substantial working capital even when underlying earnings are strong. Investors should distinguish between ordinary, readily marketable inventory financing and a deterioration in structural leverage. (</w:t>
      </w:r>
      <w:hyperlink r:id="rId25">
        <w:r>
          <w:rPr>
            <w:rStyle w:val="Hyperlink"/>
          </w:rPr>
          <w:t xml:space="preserve">investors.bunge.com</w:t>
        </w:r>
      </w:hyperlink>
      <w:r>
        <w:t xml:space="preserve">)</w:t>
      </w:r>
    </w:p>
    <w:bookmarkEnd w:id="26"/>
    <w:bookmarkStart w:id="30" w:name="stock-setup-and-potential-reactions"/>
    <w:p>
      <w:pPr>
        <w:pStyle w:val="Heading2"/>
      </w:pPr>
      <w:r>
        <w:t xml:space="preserve">Stock setup and potential reactions</w:t>
      </w:r>
    </w:p>
    <w:p>
      <w:pPr>
        <w:pStyle w:val="FirstParagraph"/>
      </w:pPr>
      <w:r>
        <w:t xml:space="preserve">BG closed July 28 at approximately</w:t>
      </w:r>
      <w:r>
        <w:t xml:space="preserve"> </w:t>
      </w:r>
      <w:r>
        <w:rPr>
          <w:b/>
          <w:bCs/>
        </w:rPr>
        <w:t xml:space="preserve">$117.40</w:t>
      </w:r>
      <w:r>
        <w:t xml:space="preserve">, up about</w:t>
      </w:r>
      <w:r>
        <w:t xml:space="preserve"> </w:t>
      </w:r>
      <w:r>
        <w:rPr>
          <w:b/>
          <w:bCs/>
        </w:rPr>
        <w:t xml:space="preserve">32% year to date</w:t>
      </w:r>
      <w:r>
        <w:t xml:space="preserve">, but roughly 7% below its pre-Q1-report level and more than 10% below its early-June high.</w:t>
      </w:r>
    </w:p>
    <w:p>
      <w:pPr>
        <w:pStyle w:val="BodyText"/>
      </w:pPr>
      <w:r>
        <w:t xml:space="preserve">At that price, the shares trade at approximately:</w:t>
      </w:r>
    </w:p>
    <w:p>
      <w:pPr>
        <w:pStyle w:val="Compact"/>
        <w:numPr>
          <w:ilvl w:val="0"/>
          <w:numId w:val="1009"/>
        </w:numPr>
      </w:pPr>
      <w:r>
        <w:rPr>
          <w:b/>
          <w:bCs/>
        </w:rPr>
        <w:t xml:space="preserve">12.7 times</w:t>
      </w:r>
      <w:r>
        <w:t xml:space="preserve"> </w:t>
      </w:r>
      <w:r>
        <w:t xml:space="preserve">the midpoint of 2026 adjusted EPS guidance</w:t>
      </w:r>
    </w:p>
    <w:p>
      <w:pPr>
        <w:pStyle w:val="Compact"/>
        <w:numPr>
          <w:ilvl w:val="0"/>
          <w:numId w:val="1009"/>
        </w:numPr>
      </w:pPr>
      <w:r>
        <w:rPr>
          <w:b/>
          <w:bCs/>
        </w:rPr>
        <w:t xml:space="preserve">7.8 times</w:t>
      </w:r>
      <w:r>
        <w:t xml:space="preserve"> </w:t>
      </w:r>
      <w:r>
        <w:t xml:space="preserve">Bunge’s $15 long-term mid-cycle EPS objective</w:t>
      </w:r>
    </w:p>
    <w:p>
      <w:pPr>
        <w:pStyle w:val="FirstParagraph"/>
      </w:pPr>
      <w:r>
        <w:t xml:space="preserve">The long-term multiple looks inexpensive, but the $15 objective is a 2030 baseline rather than near-term guidance and depends on integration, projects, capital returns and normalized processing margins.</w:t>
      </w:r>
    </w:p>
    <w:bookmarkStart w:id="27" w:name="bullish-outcome"/>
    <w:p>
      <w:pPr>
        <w:pStyle w:val="Heading3"/>
      </w:pPr>
      <w:r>
        <w:t xml:space="preserve">Bullish outcome</w:t>
      </w:r>
    </w:p>
    <w:p>
      <w:pPr>
        <w:pStyle w:val="Compact"/>
        <w:numPr>
          <w:ilvl w:val="0"/>
          <w:numId w:val="1010"/>
        </w:numPr>
      </w:pPr>
      <w:r>
        <w:t xml:space="preserve">Adjusted EPS above $2.00</w:t>
      </w:r>
    </w:p>
    <w:p>
      <w:pPr>
        <w:pStyle w:val="Compact"/>
        <w:numPr>
          <w:ilvl w:val="0"/>
          <w:numId w:val="1010"/>
        </w:numPr>
      </w:pPr>
      <w:r>
        <w:t xml:space="preserve">Full-year guidance increased or narrowed toward the upper end</w:t>
      </w:r>
    </w:p>
    <w:p>
      <w:pPr>
        <w:pStyle w:val="Compact"/>
        <w:numPr>
          <w:ilvl w:val="0"/>
          <w:numId w:val="1010"/>
        </w:numPr>
      </w:pPr>
      <w:r>
        <w:t xml:space="preserve">Broad strength in soybean and softseed processing</w:t>
      </w:r>
    </w:p>
    <w:p>
      <w:pPr>
        <w:pStyle w:val="Compact"/>
        <w:numPr>
          <w:ilvl w:val="0"/>
          <w:numId w:val="1010"/>
        </w:numPr>
      </w:pPr>
      <w:r>
        <w:t xml:space="preserve">Grain results recover sequentially</w:t>
      </w:r>
    </w:p>
    <w:p>
      <w:pPr>
        <w:pStyle w:val="Compact"/>
        <w:numPr>
          <w:ilvl w:val="0"/>
          <w:numId w:val="1010"/>
        </w:numPr>
      </w:pPr>
      <w:r>
        <w:t xml:space="preserve">Synergies move further ahead of schedule</w:t>
      </w:r>
    </w:p>
    <w:p>
      <w:pPr>
        <w:pStyle w:val="Compact"/>
        <w:numPr>
          <w:ilvl w:val="0"/>
          <w:numId w:val="1010"/>
        </w:numPr>
      </w:pPr>
      <w:r>
        <w:t xml:space="preserve">Better confidence in second-half booked margins</w:t>
      </w:r>
    </w:p>
    <w:bookmarkEnd w:id="27"/>
    <w:bookmarkStart w:id="28" w:name="neutral-outcome"/>
    <w:p>
      <w:pPr>
        <w:pStyle w:val="Heading3"/>
      </w:pPr>
      <w:r>
        <w:t xml:space="preserve">Neutral outcome</w:t>
      </w:r>
    </w:p>
    <w:p>
      <w:pPr>
        <w:pStyle w:val="Compact"/>
        <w:numPr>
          <w:ilvl w:val="0"/>
          <w:numId w:val="1011"/>
        </w:numPr>
      </w:pPr>
      <w:r>
        <w:t xml:space="preserve">EPS around</w:t>
      </w:r>
      <w:r>
        <w:t xml:space="preserve"> </w:t>
      </w:r>
      <m:oMath>
        <m:r>
          <m:t>1.90</m:t>
        </m:r>
        <m:r>
          <m:rPr>
            <m:sty m:val="p"/>
          </m:rPr>
          <m:t>–</m:t>
        </m:r>
      </m:oMath>
      <w:r>
        <w:t xml:space="preserve">2.00</w:t>
      </w:r>
    </w:p>
    <w:p>
      <w:pPr>
        <w:pStyle w:val="Compact"/>
        <w:numPr>
          <w:ilvl w:val="0"/>
          <w:numId w:val="1011"/>
        </w:numPr>
      </w:pPr>
      <m:oMath>
        <m:r>
          <m:t>9.00</m:t>
        </m:r>
        <m:r>
          <m:rPr>
            <m:sty m:val="p"/>
          </m:rPr>
          <m:t>–</m:t>
        </m:r>
      </m:oMath>
      <w:r>
        <w:t xml:space="preserve">9.50 guidance maintained</w:t>
      </w:r>
    </w:p>
    <w:p>
      <w:pPr>
        <w:pStyle w:val="Compact"/>
        <w:numPr>
          <w:ilvl w:val="0"/>
          <w:numId w:val="1011"/>
        </w:numPr>
      </w:pPr>
      <w:r>
        <w:t xml:space="preserve">Oilseed strength offsets Tropical Oils and Grain weakness</w:t>
      </w:r>
    </w:p>
    <w:p>
      <w:pPr>
        <w:pStyle w:val="Compact"/>
        <w:numPr>
          <w:ilvl w:val="0"/>
          <w:numId w:val="1011"/>
        </w:numPr>
      </w:pPr>
      <w:r>
        <w:t xml:space="preserve">Synergies remain on track, but second-half visibility remains limited</w:t>
      </w:r>
    </w:p>
    <w:bookmarkEnd w:id="28"/>
    <w:bookmarkStart w:id="29" w:name="bearish-outcome"/>
    <w:p>
      <w:pPr>
        <w:pStyle w:val="Heading3"/>
      </w:pPr>
      <w:r>
        <w:t xml:space="preserve">Bearish outcome</w:t>
      </w:r>
    </w:p>
    <w:p>
      <w:pPr>
        <w:pStyle w:val="Compact"/>
        <w:numPr>
          <w:ilvl w:val="0"/>
          <w:numId w:val="1012"/>
        </w:numPr>
      </w:pPr>
      <w:r>
        <w:t xml:space="preserve">EPS below the company’s implied</w:t>
      </w:r>
      <w:r>
        <w:t xml:space="preserve"> </w:t>
      </w:r>
      <m:oMath>
        <m:r>
          <m:t>1.77</m:t>
        </m:r>
        <m:r>
          <m:rPr>
            <m:sty m:val="p"/>
          </m:rPr>
          <m:t>–</m:t>
        </m:r>
      </m:oMath>
      <w:r>
        <w:t xml:space="preserve">1.97 range</w:t>
      </w:r>
    </w:p>
    <w:p>
      <w:pPr>
        <w:pStyle w:val="Compact"/>
        <w:numPr>
          <w:ilvl w:val="0"/>
          <w:numId w:val="1012"/>
        </w:numPr>
      </w:pPr>
      <w:r>
        <w:t xml:space="preserve">Guidance reduced or language turns materially more cautious</w:t>
      </w:r>
    </w:p>
    <w:p>
      <w:pPr>
        <w:pStyle w:val="Compact"/>
        <w:numPr>
          <w:ilvl w:val="0"/>
          <w:numId w:val="1012"/>
        </w:numPr>
      </w:pPr>
      <w:r>
        <w:t xml:space="preserve">Oilseed strength proves concentrated in Q1</w:t>
      </w:r>
    </w:p>
    <w:p>
      <w:pPr>
        <w:pStyle w:val="Compact"/>
        <w:numPr>
          <w:ilvl w:val="0"/>
          <w:numId w:val="1012"/>
        </w:numPr>
      </w:pPr>
      <w:r>
        <w:t xml:space="preserve">Grain and Tropical Oils deteriorate further</w:t>
      </w:r>
    </w:p>
    <w:p>
      <w:pPr>
        <w:pStyle w:val="Compact"/>
        <w:numPr>
          <w:ilvl w:val="0"/>
          <w:numId w:val="1012"/>
        </w:numPr>
      </w:pPr>
      <w:r>
        <w:t xml:space="preserve">Interest, working capital or integration costs rise</w:t>
      </w:r>
    </w:p>
    <w:p>
      <w:pPr>
        <w:pStyle w:val="Compact"/>
        <w:numPr>
          <w:ilvl w:val="0"/>
          <w:numId w:val="1012"/>
        </w:numPr>
      </w:pPr>
      <w:r>
        <w:t xml:space="preserve">Management continues to rely on a large Q4 earnings ramp without improved visibility</w:t>
      </w:r>
    </w:p>
    <w:bookmarkEnd w:id="29"/>
    <w:bookmarkEnd w:id="30"/>
    <w:bookmarkStart w:id="31" w:name="bottom-line"/>
    <w:p>
      <w:pPr>
        <w:pStyle w:val="Heading2"/>
      </w:pPr>
      <w:r>
        <w:t xml:space="preserve">Bottom line</w:t>
      </w:r>
    </w:p>
    <w:p>
      <w:pPr>
        <w:pStyle w:val="FirstParagraph"/>
      </w:pPr>
      <w:r>
        <w:t xml:space="preserve">The consensus already assumes Bunge reaches the</w:t>
      </w:r>
      <w:r>
        <w:t xml:space="preserve"> </w:t>
      </w:r>
      <w:r>
        <w:rPr>
          <w:b/>
          <w:bCs/>
        </w:rPr>
        <w:t xml:space="preserve">top of its prior implied Q2 earnings range</w:t>
      </w:r>
      <w:r>
        <w:t xml:space="preserve">, so a small EPS beat alone may not be enough. The more consequential signal will be whether management can defend—or raise—the</w:t>
      </w:r>
      <w:r>
        <w:t xml:space="preserve"> </w:t>
      </w:r>
      <m:oMath>
        <m:r>
          <m:t>9.00</m:t>
        </m:r>
        <m:r>
          <m:rPr>
            <m:sty m:val="p"/>
          </m:rPr>
          <m:t>–</m:t>
        </m:r>
      </m:oMath>
      <w:r>
        <w:t xml:space="preserve">9.50 outlook while demonstrating that the required second-half earnings are supported by processing economics, Viterra synergies and controllable execution.</w:t>
      </w:r>
    </w:p>
    <w:p>
      <w:pPr>
        <w:pStyle w:val="BodyText"/>
      </w:pPr>
      <w:r>
        <w:t xml:space="preserve">The best result would combine solid oilseed earnings with a Grain recovery, accelerated synergies and firmer second-half visibility. The principal risk is that strong first-half biofuel and processing conditions fade before Bunge’s larger Viterra platform and growth projects fully translate into recurring earnings.</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bunge.com/?utm_source=openai" TargetMode="External" /><Relationship Type="http://schemas.openxmlformats.org/officeDocument/2006/relationships/hyperlink" Id="rId12" Target="https://investors.bunge.com/news-and-events/press-releases/2025/07-02-2025-181516376?utm_source=openai" TargetMode="External" /><Relationship Type="http://schemas.openxmlformats.org/officeDocument/2006/relationships/hyperlink" Id="rId23" Target="https://investors.bunge.com/news-and-events/press-releases/2026/03-10-2026-120011882?utm_source=openai" TargetMode="External" /><Relationship Type="http://schemas.openxmlformats.org/officeDocument/2006/relationships/hyperlink" Id="rId15" Target="https://investors.bunge.com/news-and-events/press-releases/2026/04-29-2026-110036694" TargetMode="External" /><Relationship Type="http://schemas.openxmlformats.org/officeDocument/2006/relationships/hyperlink" Id="rId13" Target="https://investors.bunge.com/news-and-events/press-releases/2026/04-29-2026-110036694?utm_source=openai" TargetMode="External" /><Relationship Type="http://schemas.openxmlformats.org/officeDocument/2006/relationships/hyperlink" Id="rId25" Target="https://investors.bunge.com/~/media/Files/B/Bunge-IR/documents/financial-information/quarterly-results/2026/q1-2026-bunge-limited-earnings-conference-call.pdf" TargetMode="External" /><Relationship Type="http://schemas.openxmlformats.org/officeDocument/2006/relationships/hyperlink" Id="rId10" Target="https://www.marketbeat.com/earnings/reports/2026-7-29-bunge-limited-stock/"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bunge.com/?utm_source=openai" TargetMode="External" /><Relationship Type="http://schemas.openxmlformats.org/officeDocument/2006/relationships/hyperlink" Id="rId12" Target="https://investors.bunge.com/news-and-events/press-releases/2025/07-02-2025-181516376?utm_source=openai" TargetMode="External" /><Relationship Type="http://schemas.openxmlformats.org/officeDocument/2006/relationships/hyperlink" Id="rId23" Target="https://investors.bunge.com/news-and-events/press-releases/2026/03-10-2026-120011882?utm_source=openai" TargetMode="External" /><Relationship Type="http://schemas.openxmlformats.org/officeDocument/2006/relationships/hyperlink" Id="rId15" Target="https://investors.bunge.com/news-and-events/press-releases/2026/04-29-2026-110036694" TargetMode="External" /><Relationship Type="http://schemas.openxmlformats.org/officeDocument/2006/relationships/hyperlink" Id="rId13" Target="https://investors.bunge.com/news-and-events/press-releases/2026/04-29-2026-110036694?utm_source=openai" TargetMode="External" /><Relationship Type="http://schemas.openxmlformats.org/officeDocument/2006/relationships/hyperlink" Id="rId25" Target="https://investors.bunge.com/~/media/Files/B/Bunge-IR/documents/financial-information/quarterly-results/2026/q1-2026-bunge-limited-earnings-conference-call.pdf" TargetMode="External" /><Relationship Type="http://schemas.openxmlformats.org/officeDocument/2006/relationships/hyperlink" Id="rId10" Target="https://www.marketbeat.com/earnings/reports/2026-7-29-bunge-limited-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2026-07-29T00:14:33Z</dcterms:created>
  <dcterms:modified xsi:type="dcterms:W3CDTF">2026-07-29T00:14:33Z</dcterms:modified>
</cp:coreProperties>
</file>

<file path=docProps/custom.xml><?xml version="1.0" encoding="utf-8"?>
<Properties xmlns="http://schemas.openxmlformats.org/officeDocument/2006/custom-properties" xmlns:vt="http://schemas.openxmlformats.org/officeDocument/2006/docPropsVTypes"/>
</file>