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iib-earnings-predictions--2026-07-29"/>
    <w:p>
      <w:pPr>
        <w:pStyle w:val="Heading1"/>
      </w:pPr>
      <w:r>
        <w:t xml:space="preserve">BIIB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~$2.50B vs. cons $2.47B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(incl. ~$0.95 IPR&amp;D charge)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~$0.90 vs. cons $0.79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Growth portfolio revenue (LEQEMBI/SKYCLARYS/ZURZUVAE/QALSODY)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(first Apellis-inclusive guide)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13.75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(Apellis-inclusive)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9.7B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IPR&amp;D / other-expense drag (Q3 ~$290-320M charge flagged)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w:r>
              <w:t xml:space="preserve">$0.55B IPR&amp;D + ~$</w:t>
            </w:r>
            <w:r>
              <w:t xml:space="preserve">125M Apellis other expense vs. cons ~$0.35B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SYFOVRE/EMPAVELI 2H26 contribution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0.5B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Even if the underlying revenue and growth-portfolio print beat, the headline is distorted by the ~</w:t>
            </w:r>
            <w:r>
              <w:t xml:space="preserve">$0.95 Q2 IPR&amp;D charge and the pre-flagged ~$</w:t>
            </w:r>
            <w:r>
              <w:t xml:space="preserve">1.75-1.95 Q3 charge. The first Apellis-inclusive FY26 guide bakes in ~</w:t>
            </w:r>
            <w:r>
              <w:t xml:space="preserve">$120-130M financing/other expense and additional IPR&amp;D, so consensus out-period EPS gets cut even on an operational beat. With the stock already re-rated ~16% YTD into the low-$</w:t>
            </w:r>
            <w:r>
              <w:t xml:space="preserve">200s and the unresolved diranersen Phase 3 overhang, elevated positioning plus downward EPS revisions drive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2026-07-29T00:25:40Z</dcterms:created>
  <dcterms:modified xsi:type="dcterms:W3CDTF">2026-07-29T00:25:40Z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