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~$2.52B vs. cons $2.46B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~$3.15 vs. cons $3.18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Growth Product Revenue (Leqembi/Skyclarys/HD-Spinraza ex-Apellis)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~$930M vs. cons $880M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(first combined guide incl. Apellis + disclosed Q2/Q3 IPR&amp;D charges)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12.75</m:t>
              </m:r>
              <m:r>
                <m:rPr>
                  <m:sty m:val="p"/>
                </m:rPr>
                <m:t>−</m:t>
              </m:r>
            </m:oMath>
            <w:r>
              <w:t xml:space="preserve">13.75 vs. cons ~$14.00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~flat to +2% y/y (~</w:t>
            </w:r>
            <m:oMath>
              <m:r>
                <m:t>9.6</m:t>
              </m:r>
              <m:r>
                <m:rPr>
                  <m:sty m:val="p"/>
                </m:rPr>
                <m:t>−</m:t>
              </m:r>
              <m:r>
                <m:t>9.8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9.5B)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Acquired IPR&amp;D Charge (reaffirmed)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290</m:t>
              </m:r>
              <m:r>
                <m:rPr>
                  <m:sty m:val="p"/>
                </m:rPr>
                <m:t>−</m:t>
              </m:r>
              <m:r>
                <m:t>320</m:t>
              </m:r>
              <m:r>
                <m:t>M</m:t>
              </m:r>
              <m:r>
                <m:rPr>
                  <m:sty m:val="p"/>
                </m:rPr>
                <m:t>(</m:t>
              </m:r>
            </m:oMath>
            <w:r>
              <w:t xml:space="preserve">1.75-</w:t>
            </w:r>
            <m:oMath>
              <m:r>
                <m:t>1.95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300M/$1.85 already flagged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Core revenue/growth-product beat gets overshadowed by the first combined FY26 EPS guide, which layers the already-disclosed ~$0.95 (Q2) and</w:t>
            </w:r>
            <w:r>
              <w:t xml:space="preserve"> </w:t>
            </w:r>
            <w:r>
              <w:t xml:space="preserve">$1.75-1.95 (Q3) IPR&amp;D charges atop Apellis financing costs (~$</w:t>
            </w:r>
            <w:r>
              <w:t xml:space="preserve">120-130M non-GAAP other expense) and integration/amortization drag; even sell-side desks that hadn't fully updated post-8K trim FY26/FY27 EPS models over the following days, and lingering overhang from the mid-July diranersen dose-response miss (no incremental positive catalyst expected on the call beyond reiterating a later Phase 3) keeps buyers sidelined, producing continued single-name underperformance through day 5 rather than a snap-back.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2026-07-29T00:25:39Z</dcterms:created>
  <dcterms:modified xsi:type="dcterms:W3CDTF">2026-07-29T00:25:39Z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