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biib-q2-2026-earnings-preview"/>
    <w:p>
      <w:pPr>
        <w:pStyle w:val="Heading1"/>
      </w:pPr>
      <w:r>
        <w:t xml:space="preserve">BIIB Q2 2026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Biogen’s Q2 report is scheduled for</w:t>
      </w:r>
      <w:r>
        <w:t xml:space="preserve"> </w:t>
      </w:r>
      <w:r>
        <w:rPr>
          <w:b/>
          <w:bCs/>
        </w:rPr>
        <w:t xml:space="preserve">Wednesday, July 29, 2026, before the market opens</w:t>
      </w:r>
      <w:r>
        <w:t xml:space="preserve">, with the call at</w:t>
      </w:r>
      <w:r>
        <w:t xml:space="preserve"> </w:t>
      </w:r>
      <w:r>
        <w:rPr>
          <w:b/>
          <w:bCs/>
        </w:rPr>
        <w:t xml:space="preserve">8:30 a.m. ET</w:t>
      </w:r>
      <w:r>
        <w:t xml:space="preserve">. As of the current date, July 29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(</w:t>
      </w:r>
      <w:hyperlink r:id="rId9">
        <w:r>
          <w:rPr>
            <w:rStyle w:val="Hyperlink"/>
          </w:rPr>
          <w:t xml:space="preserve">investors.biogen.com</w:t>
        </w:r>
      </w:hyperlink>
      <w:r>
        <w:t xml:space="preserve">)</w:t>
      </w:r>
    </w:p>
    <w:bookmarkStart w:id="1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is less about whether Biogen beats a noisy quarterly EPS estimate and more about whether management can establish a credible</w:t>
      </w:r>
      <w:r>
        <w:t xml:space="preserve"> </w:t>
      </w:r>
      <w:r>
        <w:rPr>
          <w:b/>
          <w:bCs/>
        </w:rPr>
        <w:t xml:space="preserve">post-Apellis earnings and growth baseline</w:t>
      </w:r>
      <w:r>
        <w:t xml:space="preserve">.</w:t>
      </w:r>
    </w:p>
    <w:p>
      <w:pPr>
        <w:pStyle w:val="BodyText"/>
      </w:pPr>
      <w:r>
        <w:t xml:space="preserve">The three most important issues are: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New 2026 guidance including Apellis</w:t>
      </w:r>
      <w:r>
        <w:t xml:space="preserve">, particularly the contribution from SYFOVRE and EMPAVELI, incremental operating costs, interest expense and the path to 2027 accretion.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Underlying commercial momentum</w:t>
      </w:r>
      <w:r>
        <w:t xml:space="preserve">, led by LEQEMBI and SKYCLARYS, against continuing erosion and quarter-to-quarter volatility in the legacy multiple-sclerosis portfolio.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Pipeline execution</w:t>
      </w:r>
      <w:r>
        <w:t xml:space="preserve">, especially the Phase 3 plan for diranersen following encouraging but complicated Phase 2 CELIA results.</w:t>
      </w:r>
    </w:p>
    <w:p>
      <w:pPr>
        <w:pStyle w:val="FirstParagraph"/>
      </w:pPr>
      <w:r>
        <w:t xml:space="preserve">A clean revenue beat would help, but investors are likely to place substantially more weight on guidance quality, Apellis integration and management’s answers around diranersen.</w:t>
      </w:r>
    </w:p>
    <w:p>
      <w:r>
        <w:pict>
          <v:rect style="width:0;height:1.5pt" o:hralign="center" o:hrstd="t" o:hr="t"/>
        </w:pict>
      </w:r>
    </w:p>
    <w:bookmarkEnd w:id="10"/>
    <w:bookmarkStart w:id="14" w:name="Xe94f4899871301348d0db076b634a072998bab3"/>
    <w:p>
      <w:pPr>
        <w:pStyle w:val="Heading2"/>
      </w:pPr>
      <w:r>
        <w:t xml:space="preserve">Expectations and important accounting noise</w:t>
      </w:r>
    </w:p>
    <w:p>
      <w:pPr>
        <w:pStyle w:val="FirstParagraph"/>
      </w:pPr>
      <w:r>
        <w:t xml:space="preserve">Publicly available consensus feeds are not particularly consistent. They point to approximately</w:t>
      </w:r>
      <w:r>
        <w:t xml:space="preserve"> </w:t>
      </w:r>
      <w:r>
        <w:rPr>
          <w:b/>
          <w:bCs/>
        </w:rPr>
        <w:t xml:space="preserve">$2.4 billion to</w:t>
      </w:r>
      <w:r>
        <w:rPr>
          <w:b/>
          <w:bCs/>
        </w:rPr>
        <w:t xml:space="preserve"> </w:t>
      </w:r>
      <m:oMath>
        <m:r>
          <m:t>2.5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l</m:t>
        </m:r>
        <m:r>
          <m:t>e</m:t>
        </m:r>
        <m:r>
          <m:t>p</m:t>
        </m:r>
        <m:r>
          <m:t>u</m:t>
        </m:r>
        <m:r>
          <m:t>b</m:t>
        </m:r>
        <m:r>
          <m:t>l</m:t>
        </m:r>
        <m:r>
          <m:t>i</m:t>
        </m:r>
        <m:r>
          <m:t>s</m:t>
        </m:r>
        <m:r>
          <m:t>h</m:t>
        </m:r>
        <m:r>
          <m:t>e</m:t>
        </m:r>
        <m:r>
          <m:t>d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e</m:t>
        </m:r>
        <m:r>
          <m:t>s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s</m:t>
        </m:r>
        <m:r>
          <m:t>r</m:t>
        </m:r>
        <m:r>
          <m:t>a</m:t>
        </m:r>
        <m:r>
          <m:t>n</m:t>
        </m:r>
        <m:r>
          <m:t>g</m:t>
        </m:r>
        <m:r>
          <m:t>e</m:t>
        </m:r>
        <m:r>
          <m:t>f</m:t>
        </m:r>
        <m:r>
          <m:t>r</m:t>
        </m:r>
        <m:r>
          <m:t>o</m:t>
        </m:r>
        <m:r>
          <m:t>m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2.35 to $2.98</w:t>
      </w:r>
      <w:r>
        <w:t xml:space="preserve">. The variation likely reflects, at least in part, different treatments of Biogen’s acquired R&amp;D expenses. (</w:t>
      </w:r>
      <w:hyperlink r:id="rId11">
        <w:r>
          <w:rPr>
            <w:rStyle w:val="Hyperlink"/>
          </w:rPr>
          <w:t xml:space="preserve">benzinga.com</w:t>
        </w:r>
      </w:hyperlink>
      <w:r>
        <w:t xml:space="preserve">)</w:t>
      </w:r>
    </w:p>
    <w:p>
      <w:pPr>
        <w:pStyle w:val="BodyText"/>
      </w:pPr>
      <w:r>
        <w:t xml:space="preserve">Biogen has already disclosed that Q2 results will include:</w:t>
      </w:r>
    </w:p>
    <w:p>
      <w:pPr>
        <w:pStyle w:val="Compact"/>
        <w:numPr>
          <w:ilvl w:val="0"/>
          <w:numId w:val="1002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$164 million</w:t>
      </w:r>
      <w:r>
        <w:t xml:space="preserve"> </w:t>
      </w:r>
      <w:r>
        <w:t xml:space="preserve">of acquired in-process R&amp;D, upfront and milestone expense.</w:t>
      </w:r>
    </w:p>
    <w:p>
      <w:pPr>
        <w:pStyle w:val="Compact"/>
        <w:numPr>
          <w:ilvl w:val="0"/>
          <w:numId w:val="1002"/>
        </w:numPr>
      </w:pPr>
      <w:r>
        <w:t xml:space="preserve">An approximately</w:t>
      </w:r>
      <w:r>
        <w:t xml:space="preserve"> </w:t>
      </w:r>
      <w:r>
        <w:rPr>
          <w:b/>
          <w:bCs/>
        </w:rPr>
        <w:t xml:space="preserve">$0.95-per-share</w:t>
      </w:r>
      <w:r>
        <w:t xml:space="preserve"> </w:t>
      </w:r>
      <w:r>
        <w:t xml:space="preserve">impact on both GAAP and company-defined non-GAAP EPS.</w:t>
      </w:r>
    </w:p>
    <w:p>
      <w:pPr>
        <w:pStyle w:val="Compact"/>
        <w:numPr>
          <w:ilvl w:val="0"/>
          <w:numId w:val="1002"/>
        </w:numPr>
      </w:pPr>
      <w:r>
        <w:t xml:space="preserve">A further</w:t>
      </w:r>
      <w:r>
        <w:t xml:space="preserve"> </w:t>
      </w:r>
      <w:r>
        <w:rPr>
          <w:b/>
          <w:bCs/>
        </w:rPr>
        <w:t xml:space="preserve">$290 million to</w:t>
      </w:r>
      <w:r>
        <w:rPr>
          <w:b/>
          <w:bCs/>
        </w:rPr>
        <w:t xml:space="preserve"> </w:t>
      </w:r>
      <m:oMath>
        <m:r>
          <m:t>320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o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1.75 to $1.95 per share</w:t>
      </w:r>
      <w:r>
        <w:t xml:space="preserve">, of potential acquired-R&amp;D expense expected in Q3. (</w:t>
      </w:r>
      <w:hyperlink r:id="rId12">
        <w:r>
          <w:rPr>
            <w:rStyle w:val="Hyperlink"/>
          </w:rPr>
          <w:t xml:space="preserve">investors.biogen.com</w:t>
        </w:r>
      </w:hyperlink>
      <w:r>
        <w:t xml:space="preserve">)</w:t>
      </w:r>
    </w:p>
    <w:p>
      <w:pPr>
        <w:pStyle w:val="FirstParagraph"/>
      </w:pPr>
      <w:r>
        <w:t xml:space="preserve">This makes the headline EPS comparison unusually difficult. Investors should separate:</w:t>
      </w:r>
    </w:p>
    <w:p>
      <w:pPr>
        <w:pStyle w:val="Compact"/>
        <w:numPr>
          <w:ilvl w:val="0"/>
          <w:numId w:val="1003"/>
        </w:numPr>
      </w:pPr>
      <w:r>
        <w:t xml:space="preserve">Core operating performance;</w:t>
      </w:r>
    </w:p>
    <w:p>
      <w:pPr>
        <w:pStyle w:val="Compact"/>
        <w:numPr>
          <w:ilvl w:val="0"/>
          <w:numId w:val="1003"/>
        </w:numPr>
      </w:pPr>
      <w:r>
        <w:t xml:space="preserve">Apellis-related financing and integration effects;</w:t>
      </w:r>
    </w:p>
    <w:p>
      <w:pPr>
        <w:pStyle w:val="Compact"/>
        <w:numPr>
          <w:ilvl w:val="0"/>
          <w:numId w:val="1003"/>
        </w:numPr>
      </w:pPr>
      <w:r>
        <w:t xml:space="preserve">Acquired-R&amp;D and milestone charges; and</w:t>
      </w:r>
    </w:p>
    <w:p>
      <w:pPr>
        <w:pStyle w:val="Compact"/>
        <w:numPr>
          <w:ilvl w:val="0"/>
          <w:numId w:val="1003"/>
        </w:numPr>
      </w:pPr>
      <w:r>
        <w:t xml:space="preserve">Purchase-accounting adjustments.</w:t>
      </w:r>
    </w:p>
    <w:p>
      <w:pPr>
        <w:pStyle w:val="FirstParagraph"/>
      </w:pPr>
      <w:r>
        <w:t xml:space="preserve">At Q1, Biogen’s guidance—</w:t>
      </w:r>
      <w:r>
        <w:rPr>
          <w:b/>
          <w:bCs/>
        </w:rPr>
        <w:t xml:space="preserve">excluding Apellis</w:t>
      </w:r>
      <w:r>
        <w:t xml:space="preserve">—called for 2026 non-GAAP EPS of</w:t>
      </w:r>
      <w:r>
        <w:t xml:space="preserve"> </w:t>
      </w:r>
      <m:oMath>
        <m:r>
          <m:t>14.25</m:t>
        </m:r>
        <m:r>
          <m:rPr>
            <m:sty m:val="p"/>
          </m:rPr>
          <m:t>−</m:t>
        </m:r>
      </m:oMath>
      <w:r>
        <w:rPr>
          <w:b/>
          <w:bCs/>
        </w:rPr>
        <w:t xml:space="preserve">15.25</w:t>
      </w:r>
      <w:r>
        <w:t xml:space="preserve"> </w:t>
      </w:r>
      <w:r>
        <w:t xml:space="preserve">and a mid-single-digit decline in revenue. Management explicitly said it would issue guidance including Apellis with Q2 results. (</w:t>
      </w:r>
      <w:hyperlink r:id="rId13">
        <w:r>
          <w:rPr>
            <w:rStyle w:val="Hyperlink"/>
          </w:rPr>
          <w:t xml:space="preserve">investors.biogen.com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4"/>
    <w:bookmarkStart w:id="20" w:name="X937bbbf248723f3e88cf6a5daa618769f01c7bd"/>
    <w:p>
      <w:pPr>
        <w:pStyle w:val="Heading2"/>
      </w:pPr>
      <w:r>
        <w:t xml:space="preserve">1. Apellis is the central issue</w:t>
      </w:r>
    </w:p>
    <w:p>
      <w:pPr>
        <w:pStyle w:val="FirstParagraph"/>
      </w:pPr>
      <w:r>
        <w:t xml:space="preserve">Biogen completed its approximately</w:t>
      </w:r>
      <w:r>
        <w:t xml:space="preserve"> </w:t>
      </w:r>
      <w:r>
        <w:rPr>
          <w:b/>
          <w:bCs/>
        </w:rPr>
        <w:t xml:space="preserve">$5.3 billion acquisition of Apellis on May 14</w:t>
      </w:r>
      <w:r>
        <w:t xml:space="preserve">, meaning Q2 should contain roughly seven weeks of Apellis operations. The acquisition added SYFOVRE for geographic atrophy and EMPAVELI for complement-driven diseases. Biogen expects the transaction to be accretive to non-GAAP EPS in 2027. (</w:t>
      </w:r>
      <w:hyperlink r:id="rId15">
        <w:r>
          <w:rPr>
            <w:rStyle w:val="Hyperlink"/>
          </w:rPr>
          <w:t xml:space="preserve">investors.biogen.com</w:t>
        </w:r>
      </w:hyperlink>
      <w:r>
        <w:t xml:space="preserve">)</w:t>
      </w:r>
    </w:p>
    <w:bookmarkStart w:id="17" w:name="revenue-baseline"/>
    <w:p>
      <w:pPr>
        <w:pStyle w:val="Heading3"/>
      </w:pPr>
      <w:r>
        <w:t xml:space="preserve">Revenue baseline</w:t>
      </w:r>
    </w:p>
    <w:p>
      <w:pPr>
        <w:pStyle w:val="FirstParagraph"/>
      </w:pPr>
      <w:r>
        <w:t xml:space="preserve">Apellis reported Q1 2026 product revenue of: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Product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SYFOVRE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$150.7M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EMPAVELI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$41.3M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product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$192.0M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28%</w:t>
            </w:r>
          </w:p>
        </w:tc>
      </w:tr>
    </w:tbl>
    <w:p>
      <w:pPr>
        <w:pStyle w:val="BodyText"/>
      </w:pPr>
      <w:r>
        <w:t xml:space="preserve">Apellis also reported $76.3 million of licensing and other revenue, but $55 million came from regulatory and collaboration payments. That portion should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be treated as recurring product revenue. (</w:t>
      </w:r>
      <w:hyperlink r:id="rId16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At the Q1 product run rate, approximately seven weeks of ownership would equate to roughly</w:t>
      </w:r>
      <w:r>
        <w:t xml:space="preserve"> </w:t>
      </w:r>
      <w:r>
        <w:rPr>
          <w:b/>
          <w:bCs/>
        </w:rPr>
        <w:t xml:space="preserve">$100 million of product revenue</w:t>
      </w:r>
      <w:r>
        <w:t xml:space="preserve"> </w:t>
      </w:r>
      <w:r>
        <w:t xml:space="preserve">consolidated into Biogen’s Q2 results. That is only an illustrative calculation; purchase accounting, transaction timing, inventory and normal commercial variability could produce a materially different number.</w:t>
      </w:r>
    </w:p>
    <w:bookmarkEnd w:id="17"/>
    <w:bookmarkStart w:id="19" w:name="what-investors-should-listen-for"/>
    <w:p>
      <w:pPr>
        <w:pStyle w:val="Heading3"/>
      </w:pPr>
      <w:r>
        <w:t xml:space="preserve">What investors should listen for</w:t>
      </w:r>
    </w:p>
    <w:p>
      <w:pPr>
        <w:pStyle w:val="Compact"/>
        <w:numPr>
          <w:ilvl w:val="0"/>
          <w:numId w:val="1004"/>
        </w:numPr>
      </w:pPr>
      <w:r>
        <w:t xml:space="preserve">Full-year SYFOVRE and EMPAVELI expectations.</w:t>
      </w:r>
    </w:p>
    <w:p>
      <w:pPr>
        <w:pStyle w:val="Compact"/>
        <w:numPr>
          <w:ilvl w:val="0"/>
          <w:numId w:val="1004"/>
        </w:numPr>
      </w:pPr>
      <w:r>
        <w:t xml:space="preserve">Whether SYFOVRE injection and patient growth remained healthy.</w:t>
      </w:r>
    </w:p>
    <w:p>
      <w:pPr>
        <w:pStyle w:val="Compact"/>
        <w:numPr>
          <w:ilvl w:val="0"/>
          <w:numId w:val="1004"/>
        </w:numPr>
      </w:pPr>
      <w:r>
        <w:t xml:space="preserve">The pace of EMPAVELI uptake in C3G and primary IC-MPGN.</w:t>
      </w:r>
    </w:p>
    <w:p>
      <w:pPr>
        <w:pStyle w:val="Compact"/>
        <w:numPr>
          <w:ilvl w:val="0"/>
          <w:numId w:val="1004"/>
        </w:numPr>
      </w:pPr>
      <w:r>
        <w:t xml:space="preserve">Incremental commercial spending, including potential SYFOVRE consumer advertising.</w:t>
      </w:r>
    </w:p>
    <w:p>
      <w:pPr>
        <w:pStyle w:val="Compact"/>
        <w:numPr>
          <w:ilvl w:val="0"/>
          <w:numId w:val="1004"/>
        </w:numPr>
      </w:pPr>
      <w:r>
        <w:t xml:space="preserve">Cost synergies versus additional investment.</w:t>
      </w:r>
    </w:p>
    <w:p>
      <w:pPr>
        <w:pStyle w:val="Compact"/>
        <w:numPr>
          <w:ilvl w:val="0"/>
          <w:numId w:val="1004"/>
        </w:numPr>
      </w:pPr>
      <w:r>
        <w:t xml:space="preserve">Updated interest expense and free-cash-flow expectations.</w:t>
      </w:r>
    </w:p>
    <w:p>
      <w:pPr>
        <w:pStyle w:val="Compact"/>
        <w:numPr>
          <w:ilvl w:val="0"/>
          <w:numId w:val="1004"/>
        </w:numPr>
      </w:pPr>
      <w:r>
        <w:t xml:space="preserve">A specific deleveraging schedule.</w:t>
      </w:r>
    </w:p>
    <w:p>
      <w:pPr>
        <w:pStyle w:val="FirstParagraph"/>
      </w:pPr>
      <w:r>
        <w:t xml:space="preserve">Biogen borrowed</w:t>
      </w:r>
      <w:r>
        <w:t xml:space="preserve"> </w:t>
      </w:r>
      <w:r>
        <w:rPr>
          <w:b/>
          <w:bCs/>
        </w:rPr>
        <w:t xml:space="preserve">$2 billion</w:t>
      </w:r>
      <w:r>
        <w:t xml:space="preserve"> </w:t>
      </w:r>
      <w:r>
        <w:t xml:space="preserve">to help fund the transaction, split between a $1 billion facility due in May 2027 and another $1 billion due in May 2028. The balance sheet and repayment plan therefore matter more than they did before the acquisition. (</w:t>
      </w:r>
      <w:hyperlink r:id="rId18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Best outcome:</w:t>
      </w:r>
      <w:r>
        <w:t xml:space="preserve"> </w:t>
      </w:r>
      <w:r>
        <w:t xml:space="preserve">management shows that Apellis adds durable mid-teens-or-better product growth without requiring enough incremental spending to delay 2027 accretion.</w:t>
      </w:r>
    </w:p>
    <w:p>
      <w:pPr>
        <w:pStyle w:val="BodyText"/>
      </w:pPr>
      <w:r>
        <w:rPr>
          <w:b/>
          <w:bCs/>
        </w:rPr>
        <w:t xml:space="preserve">Key risk:</w:t>
      </w:r>
      <w:r>
        <w:t xml:space="preserve"> </w:t>
      </w:r>
      <w:r>
        <w:t xml:space="preserve">SYFOVRE growth proves more promotion-sensitive than expected while higher commercial costs and interest expense pressure near-term EPS.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2" w:name="X47822b461b1dc316922308d86c71402091d7a0e"/>
    <w:p>
      <w:pPr>
        <w:pStyle w:val="Heading2"/>
      </w:pPr>
      <w:r>
        <w:t xml:space="preserve">2. LEQEMBI: focus on the trajectory, not the quarter alone</w:t>
      </w:r>
    </w:p>
    <w:p>
      <w:pPr>
        <w:pStyle w:val="FirstParagraph"/>
      </w:pPr>
      <w:r>
        <w:t xml:space="preserve">LEQEMBI generated</w:t>
      </w:r>
      <w:r>
        <w:t xml:space="preserve"> </w:t>
      </w:r>
      <w:r>
        <w:rPr>
          <w:b/>
          <w:bCs/>
        </w:rPr>
        <w:t xml:space="preserve">$168 million of global end-market sales in Q1</w:t>
      </w:r>
      <w:r>
        <w:t xml:space="preserve">, up 74% year over year. Biogen recognized $59.5 million of Alzheimer’s collaboration revenue.</w:t>
      </w:r>
    </w:p>
    <w:p>
      <w:pPr>
        <w:pStyle w:val="BodyText"/>
      </w:pPr>
      <w:r>
        <w:t xml:space="preserve">The most important questions are:</w:t>
      </w:r>
    </w:p>
    <w:p>
      <w:pPr>
        <w:pStyle w:val="Compact"/>
        <w:numPr>
          <w:ilvl w:val="0"/>
          <w:numId w:val="1005"/>
        </w:numPr>
      </w:pPr>
      <w:r>
        <w:t xml:space="preserve">U.S. patient starts and infusion-center capacity.</w:t>
      </w:r>
    </w:p>
    <w:p>
      <w:pPr>
        <w:pStyle w:val="Compact"/>
        <w:numPr>
          <w:ilvl w:val="0"/>
          <w:numId w:val="1005"/>
        </w:numPr>
      </w:pPr>
      <w:r>
        <w:t xml:space="preserve">Uptake in Japan and China.</w:t>
      </w:r>
    </w:p>
    <w:p>
      <w:pPr>
        <w:pStyle w:val="Compact"/>
        <w:numPr>
          <w:ilvl w:val="0"/>
          <w:numId w:val="1005"/>
        </w:numPr>
      </w:pPr>
      <w:r>
        <w:t xml:space="preserve">Persistence beyond the initial 18-month treatment period.</w:t>
      </w:r>
    </w:p>
    <w:p>
      <w:pPr>
        <w:pStyle w:val="Compact"/>
        <w:numPr>
          <w:ilvl w:val="0"/>
          <w:numId w:val="1005"/>
        </w:numPr>
      </w:pPr>
      <w:r>
        <w:t xml:space="preserve">Conversion to subcutaneous maintenance.</w:t>
      </w:r>
    </w:p>
    <w:p>
      <w:pPr>
        <w:pStyle w:val="Compact"/>
        <w:numPr>
          <w:ilvl w:val="0"/>
          <w:numId w:val="1005"/>
        </w:numPr>
      </w:pPr>
      <w:r>
        <w:t xml:space="preserve">Whether blood-based biomarkers are shortening the diagnosis and treatment pathway.</w:t>
      </w:r>
    </w:p>
    <w:p>
      <w:pPr>
        <w:pStyle w:val="Compact"/>
        <w:numPr>
          <w:ilvl w:val="0"/>
          <w:numId w:val="1005"/>
        </w:numPr>
      </w:pPr>
      <w:r>
        <w:t xml:space="preserve">Competitive share versus Lilly’s Kisunla.</w:t>
      </w:r>
    </w:p>
    <w:p>
      <w:pPr>
        <w:pStyle w:val="FirstParagraph"/>
      </w:pPr>
      <w:r>
        <w:t xml:space="preserve">The FDA approved LEQEMBI IQLIK for</w:t>
      </w:r>
      <w:r>
        <w:t xml:space="preserve"> </w:t>
      </w:r>
      <w:r>
        <w:rPr>
          <w:b/>
          <w:bCs/>
        </w:rPr>
        <w:t xml:space="preserve">at-home initiation dosing on July 13</w:t>
      </w:r>
      <w:r>
        <w:t xml:space="preserve">, with the U.S. launch planned for late August. Because approval came after quarter-end, it will not materially affect Q2 sales. Its significance is in the forward outlook: initiation and maintenance can now both be delivered through a weekly autoinjector rather than requiring patients to begin with IV infusions. (</w:t>
      </w:r>
      <w:hyperlink r:id="rId21">
        <w:r>
          <w:rPr>
            <w:rStyle w:val="Hyperlink"/>
          </w:rPr>
          <w:t xml:space="preserve">investors.biogen.com</w:t>
        </w:r>
      </w:hyperlink>
      <w:r>
        <w:t xml:space="preserve">)</w:t>
      </w:r>
    </w:p>
    <w:p>
      <w:pPr>
        <w:pStyle w:val="BodyText"/>
      </w:pPr>
      <w:r>
        <w:t xml:space="preserve">A strong report would include clear launch metrics and evidence that subcutaneous initiation can expand the addressable market—not simply shift existing patients from IV to subcutaneous treatment.</w:t>
      </w:r>
    </w:p>
    <w:p>
      <w:r>
        <w:pict>
          <v:rect style="width:0;height:1.5pt" o:hralign="center" o:hrstd="t" o:hr="t"/>
        </w:pict>
      </w:r>
    </w:p>
    <w:bookmarkEnd w:id="22"/>
    <w:bookmarkStart w:id="27" w:name="Xb4b637b5e116801e976fe685d999265bc52b179"/>
    <w:p>
      <w:pPr>
        <w:pStyle w:val="Heading2"/>
      </w:pPr>
      <w:r>
        <w:t xml:space="preserve">3. SKYCLARYS and the rest of the growth portfolio</w:t>
      </w:r>
    </w:p>
    <w:bookmarkStart w:id="23" w:name="skyclarys"/>
    <w:p>
      <w:pPr>
        <w:pStyle w:val="Heading3"/>
      </w:pPr>
      <w:r>
        <w:t xml:space="preserve">SKYCLARYS</w:t>
      </w:r>
    </w:p>
    <w:p>
      <w:pPr>
        <w:pStyle w:val="FirstParagraph"/>
      </w:pPr>
      <w:r>
        <w:t xml:space="preserve">SKYCLARYS produced</w:t>
      </w:r>
      <w:r>
        <w:t xml:space="preserve"> </w:t>
      </w:r>
      <w:r>
        <w:rPr>
          <w:b/>
          <w:bCs/>
        </w:rPr>
        <w:t xml:space="preserve">$151 million in Q1</w:t>
      </w:r>
      <w:r>
        <w:t xml:space="preserve">, up 22% year over year. The underlying story was stronger outside the U.S., where revenue exceeded U.S. revenue for the first time.</w:t>
      </w:r>
    </w:p>
    <w:p>
      <w:pPr>
        <w:pStyle w:val="BodyText"/>
      </w:pPr>
      <w:r>
        <w:t xml:space="preserve">The central question is whether ex-U.S. reimbursement decisions are converting patients from early-access programs into paying commercial patients. This can make quarterly revenue lumpy, but it is also the product’s main medium-term growth engine.</w:t>
      </w:r>
    </w:p>
    <w:p>
      <w:pPr>
        <w:pStyle w:val="BodyText"/>
      </w:pPr>
      <w:r>
        <w:t xml:space="preserve">A result above Q1’s $151 million level, supported by demand rather than inventory, would be constructive.</w:t>
      </w:r>
    </w:p>
    <w:bookmarkEnd w:id="23"/>
    <w:bookmarkStart w:id="24" w:name="spinraza"/>
    <w:p>
      <w:pPr>
        <w:pStyle w:val="Heading3"/>
      </w:pPr>
      <w:r>
        <w:t xml:space="preserve">SPINRAZA</w:t>
      </w:r>
    </w:p>
    <w:p>
      <w:pPr>
        <w:pStyle w:val="FirstParagraph"/>
      </w:pPr>
      <w:r>
        <w:t xml:space="preserve">Q1 SPINRAZA revenue declined 12% to</w:t>
      </w:r>
      <w:r>
        <w:t xml:space="preserve"> </w:t>
      </w:r>
      <w:r>
        <w:rPr>
          <w:b/>
          <w:bCs/>
        </w:rPr>
        <w:t xml:space="preserve">$374 million</w:t>
      </w:r>
      <w:r>
        <w:t xml:space="preserve">, partly because of ex-U.S. shipment timing. The high-dose regimen has since launched in the U.S., Europe and Japan.</w:t>
      </w:r>
    </w:p>
    <w:p>
      <w:pPr>
        <w:pStyle w:val="BodyText"/>
      </w:pPr>
      <w:r>
        <w:t xml:space="preserve">Management previously said that shortly after the U.S. launch, start forms covering roughly 20% of the existing patient base had already been submitted, with a similar conversion rate emerging in Germany. Investors should look for:</w:t>
      </w:r>
    </w:p>
    <w:p>
      <w:pPr>
        <w:pStyle w:val="Compact"/>
        <w:numPr>
          <w:ilvl w:val="0"/>
          <w:numId w:val="1006"/>
        </w:numPr>
      </w:pPr>
      <w:r>
        <w:t xml:space="preserve">Actual completed conversions rather than submitted forms.</w:t>
      </w:r>
    </w:p>
    <w:p>
      <w:pPr>
        <w:pStyle w:val="Compact"/>
        <w:numPr>
          <w:ilvl w:val="0"/>
          <w:numId w:val="1006"/>
        </w:numPr>
      </w:pPr>
      <w:r>
        <w:t xml:space="preserve">Competitive switches or additions after gene therapy.</w:t>
      </w:r>
    </w:p>
    <w:p>
      <w:pPr>
        <w:pStyle w:val="Compact"/>
        <w:numPr>
          <w:ilvl w:val="0"/>
          <w:numId w:val="1006"/>
        </w:numPr>
      </w:pPr>
      <w:r>
        <w:t xml:space="preserve">Whether high-dose SPINRAZA can stabilize or return the franchise to growth.</w:t>
      </w:r>
    </w:p>
    <w:p>
      <w:pPr>
        <w:pStyle w:val="Compact"/>
        <w:numPr>
          <w:ilvl w:val="0"/>
          <w:numId w:val="1006"/>
        </w:numPr>
      </w:pPr>
      <w:r>
        <w:t xml:space="preserve">Any change in pricing or revenue per patient.</w:t>
      </w:r>
    </w:p>
    <w:p>
      <w:pPr>
        <w:pStyle w:val="FirstParagraph"/>
      </w:pPr>
      <w:r>
        <w:t xml:space="preserve">Shipment timing will remain a source of quarterly volatility, so patient and demand metrics may be more informative than reported revenue.</w:t>
      </w:r>
    </w:p>
    <w:bookmarkEnd w:id="24"/>
    <w:bookmarkStart w:id="25" w:name="vumerity-and-legacy-ms"/>
    <w:p>
      <w:pPr>
        <w:pStyle w:val="Heading3"/>
      </w:pPr>
      <w:r>
        <w:t xml:space="preserve">VUMERITY and legacy MS</w:t>
      </w:r>
    </w:p>
    <w:p>
      <w:pPr>
        <w:pStyle w:val="FirstParagraph"/>
      </w:pPr>
      <w:r>
        <w:t xml:space="preserve">Q1 VUMERITY revenue was</w:t>
      </w:r>
      <w:r>
        <w:t xml:space="preserve"> </w:t>
      </w:r>
      <w:r>
        <w:rPr>
          <w:b/>
          <w:bCs/>
        </w:rPr>
        <w:t xml:space="preserve">$179 million</w:t>
      </w:r>
      <w:r>
        <w:t xml:space="preserve">, up 29%, but benefited from U.S. inventory dynamics. TYSABRI also benefited from favorable gross-to-net adjustments and inventory timing.</w:t>
      </w:r>
    </w:p>
    <w:p>
      <w:pPr>
        <w:pStyle w:val="BodyText"/>
      </w:pPr>
      <w:r>
        <w:t xml:space="preserve">The risk for Q2 is reversal of those favorable items. Investors should avoid interpreting another resilient MS quarter as sustainable unless management can demonstrate stable underlying prescriptions and market share.</w:t>
      </w:r>
    </w:p>
    <w:bookmarkEnd w:id="25"/>
    <w:bookmarkStart w:id="26" w:name="zurzuvae-and-qalsody"/>
    <w:p>
      <w:pPr>
        <w:pStyle w:val="Heading3"/>
      </w:pPr>
      <w:r>
        <w:t xml:space="preserve">ZURZUVAE and QALSODY</w:t>
      </w:r>
    </w:p>
    <w:p>
      <w:pPr>
        <w:pStyle w:val="FirstParagraph"/>
      </w:pPr>
      <w:r>
        <w:t xml:space="preserve">ZURZUVAE generated</w:t>
      </w:r>
      <w:r>
        <w:t xml:space="preserve"> </w:t>
      </w:r>
      <m:oMath>
        <m:r>
          <m:t>55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,</m:t>
        </m:r>
        <m:r>
          <m:t>u</m:t>
        </m:r>
        <m:r>
          <m:t>p</m:t>
        </m:r>
        <m:r>
          <m:t>100</m:t>
        </m:r>
      </m:oMath>
      <w:r>
        <w:rPr>
          <w:b/>
          <w:bCs/>
        </w:rPr>
        <w:t xml:space="preserve">33 million</w:t>
      </w:r>
      <w:r>
        <w:t xml:space="preserve">, up 110%.</w:t>
      </w:r>
    </w:p>
    <w:p>
      <w:pPr>
        <w:pStyle w:val="BodyText"/>
      </w:pPr>
      <w:r>
        <w:t xml:space="preserve">Both remain smaller contributors, but continued demand growth would support Biogen’s argument that its newer portfolio can progressively offset legacy MS erosion.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9" w:name="X416134f94663093816486e79593d396a810596e"/>
    <w:p>
      <w:pPr>
        <w:pStyle w:val="Heading2"/>
      </w:pPr>
      <w:r>
        <w:t xml:space="preserve">4. Diranersen: promising data, but the Phase 3 plan is crucial</w:t>
      </w:r>
    </w:p>
    <w:p>
      <w:pPr>
        <w:pStyle w:val="FirstParagraph"/>
      </w:pPr>
      <w:r>
        <w:t xml:space="preserve">Diranersen, formerly BIIB080, has become a potentially important valuation asset following the Phase 2 CELIA results.</w:t>
      </w:r>
    </w:p>
    <w:p>
      <w:pPr>
        <w:pStyle w:val="BodyText"/>
      </w:pPr>
      <w:r>
        <w:t xml:space="preserve">At the lowest tested regimen—60 mg administered intrathecally every six months—the study showed:</w:t>
      </w:r>
    </w:p>
    <w:p>
      <w:pPr>
        <w:pStyle w:val="Compact"/>
        <w:numPr>
          <w:ilvl w:val="0"/>
          <w:numId w:val="1007"/>
        </w:numPr>
      </w:pPr>
      <w:r>
        <w:t xml:space="preserve">26% slowing on CDR-SB;</w:t>
      </w:r>
    </w:p>
    <w:p>
      <w:pPr>
        <w:pStyle w:val="Compact"/>
        <w:numPr>
          <w:ilvl w:val="0"/>
          <w:numId w:val="1007"/>
        </w:numPr>
      </w:pPr>
      <w:r>
        <w:t xml:space="preserve">42% slowing on ADAS-Cog13;</w:t>
      </w:r>
    </w:p>
    <w:p>
      <w:pPr>
        <w:pStyle w:val="Compact"/>
        <w:numPr>
          <w:ilvl w:val="0"/>
          <w:numId w:val="1007"/>
        </w:numPr>
      </w:pPr>
      <w:r>
        <w:t xml:space="preserve">50% slowing on MMSE; and</w:t>
      </w:r>
    </w:p>
    <w:p>
      <w:pPr>
        <w:pStyle w:val="Compact"/>
        <w:numPr>
          <w:ilvl w:val="0"/>
          <w:numId w:val="1007"/>
        </w:numPr>
      </w:pPr>
      <w:r>
        <w:t xml:space="preserve">50%-65% reductions in cerebrospinal-fluid total tau across doses.</w:t>
      </w:r>
    </w:p>
    <w:p>
      <w:pPr>
        <w:pStyle w:val="FirstParagraph"/>
      </w:pPr>
      <w:r>
        <w:t xml:space="preserve">However, CELIA</w:t>
      </w:r>
      <w:r>
        <w:t xml:space="preserve"> </w:t>
      </w:r>
      <w:r>
        <w:rPr>
          <w:b/>
          <w:bCs/>
        </w:rPr>
        <w:t xml:space="preserve">did not meet its primary endpoint</w:t>
      </w:r>
      <w:r>
        <w:t xml:space="preserve">, which tested for a dose-response relationship. Higher doses did not generate greater clinical benefit, and no separation from placebo was seen on the ADCS-ADL-MCI functional endpoint at 18 months. (</w:t>
      </w:r>
      <w:hyperlink r:id="rId28">
        <w:r>
          <w:rPr>
            <w:rStyle w:val="Hyperlink"/>
          </w:rPr>
          <w:t xml:space="preserve">biogen.gcs-web.com</w:t>
        </w:r>
      </w:hyperlink>
      <w:r>
        <w:t xml:space="preserve">)</w:t>
      </w:r>
    </w:p>
    <w:p>
      <w:pPr>
        <w:pStyle w:val="BodyText"/>
      </w:pPr>
      <w:r>
        <w:t xml:space="preserve">That leaves several critical questions for the call:</w:t>
      </w:r>
    </w:p>
    <w:p>
      <w:pPr>
        <w:pStyle w:val="Compact"/>
        <w:numPr>
          <w:ilvl w:val="0"/>
          <w:numId w:val="1008"/>
        </w:numPr>
      </w:pPr>
      <w:r>
        <w:t xml:space="preserve">What dose will Biogen take into Phase 3?</w:t>
      </w:r>
    </w:p>
    <w:p>
      <w:pPr>
        <w:pStyle w:val="Compact"/>
        <w:numPr>
          <w:ilvl w:val="0"/>
          <w:numId w:val="1008"/>
        </w:numPr>
      </w:pPr>
      <w:r>
        <w:t xml:space="preserve">What will be the primary endpoint and powering assumptions?</w:t>
      </w:r>
    </w:p>
    <w:p>
      <w:pPr>
        <w:pStyle w:val="Compact"/>
        <w:numPr>
          <w:ilvl w:val="0"/>
          <w:numId w:val="1008"/>
        </w:numPr>
      </w:pPr>
      <w:r>
        <w:t xml:space="preserve">Does Biogen need one pivotal study or two?</w:t>
      </w:r>
    </w:p>
    <w:p>
      <w:pPr>
        <w:pStyle w:val="Compact"/>
        <w:numPr>
          <w:ilvl w:val="0"/>
          <w:numId w:val="1008"/>
        </w:numPr>
      </w:pPr>
      <w:r>
        <w:t xml:space="preserve">How will regulators view the failed dose-response primary endpoint?</w:t>
      </w:r>
    </w:p>
    <w:p>
      <w:pPr>
        <w:pStyle w:val="Compact"/>
        <w:numPr>
          <w:ilvl w:val="0"/>
          <w:numId w:val="1008"/>
        </w:numPr>
      </w:pPr>
      <w:r>
        <w:t xml:space="preserve">Will Phase 3 test diranersen alone or alongside anti-amyloid treatment?</w:t>
      </w:r>
    </w:p>
    <w:p>
      <w:pPr>
        <w:pStyle w:val="Compact"/>
        <w:numPr>
          <w:ilvl w:val="0"/>
          <w:numId w:val="1008"/>
        </w:numPr>
      </w:pPr>
      <w:r>
        <w:t xml:space="preserve">How will Biogen address the burden of intrathecal administration?</w:t>
      </w:r>
    </w:p>
    <w:p>
      <w:pPr>
        <w:pStyle w:val="Compact"/>
        <w:numPr>
          <w:ilvl w:val="0"/>
          <w:numId w:val="1008"/>
        </w:numPr>
      </w:pPr>
      <w:r>
        <w:t xml:space="preserve">What safety monitoring will be required for confusional events and lumbar-puncture complications?</w:t>
      </w:r>
    </w:p>
    <w:p>
      <w:pPr>
        <w:pStyle w:val="FirstParagraph"/>
      </w:pPr>
      <w:r>
        <w:t xml:space="preserve">A credible, capital-disciplined registrational plan could add confidence. A vague or unusually large development program could raise concerns that the encouraging low-dose results may be difficult to reproduce.</w:t>
      </w:r>
    </w:p>
    <w:p>
      <w:r>
        <w:pict>
          <v:rect style="width:0;height:1.5pt" o:hralign="center" o:hrstd="t" o:hr="t"/>
        </w:pict>
      </w:r>
    </w:p>
    <w:bookmarkEnd w:id="29"/>
    <w:bookmarkStart w:id="32" w:name="X14b1b345321e105a1fbdf0196d839864d59e8f0"/>
    <w:p>
      <w:pPr>
        <w:pStyle w:val="Heading2"/>
      </w:pPr>
      <w:r>
        <w:t xml:space="preserve">5. Guidance will matter more than Q2 EPS</w:t>
      </w:r>
    </w:p>
    <w:p>
      <w:pPr>
        <w:pStyle w:val="FirstParagraph"/>
      </w:pPr>
      <w:r>
        <w:t xml:space="preserve">The cleanest way to judge the report will be to compare new guidance with the old</w:t>
      </w:r>
      <w:r>
        <w:t xml:space="preserve"> </w:t>
      </w:r>
      <w:r>
        <w:rPr>
          <w:b/>
          <w:bCs/>
        </w:rPr>
        <w:t xml:space="preserve">ex-Apellis</w:t>
      </w:r>
      <w:r>
        <w:t xml:space="preserve"> </w:t>
      </w:r>
      <w:r>
        <w:t xml:space="preserve">baseline.</w:t>
      </w:r>
    </w:p>
    <w:bookmarkStart w:id="30" w:name="constructive-guidance-would-show"/>
    <w:p>
      <w:pPr>
        <w:pStyle w:val="Heading3"/>
      </w:pPr>
      <w:r>
        <w:t xml:space="preserve">Constructive guidance would show:</w:t>
      </w:r>
    </w:p>
    <w:p>
      <w:pPr>
        <w:pStyle w:val="Compact"/>
        <w:numPr>
          <w:ilvl w:val="0"/>
          <w:numId w:val="1009"/>
        </w:numPr>
      </w:pPr>
      <w:r>
        <w:t xml:space="preserve">Legacy Biogen operating assumptions largely intact.</w:t>
      </w:r>
    </w:p>
    <w:p>
      <w:pPr>
        <w:pStyle w:val="Compact"/>
        <w:numPr>
          <w:ilvl w:val="0"/>
          <w:numId w:val="1009"/>
        </w:numPr>
      </w:pPr>
      <w:r>
        <w:t xml:space="preserve">Apellis adding meaningful revenue in 2026.</w:t>
      </w:r>
    </w:p>
    <w:p>
      <w:pPr>
        <w:pStyle w:val="Compact"/>
        <w:numPr>
          <w:ilvl w:val="0"/>
          <w:numId w:val="1009"/>
        </w:numPr>
      </w:pPr>
      <w:r>
        <w:t xml:space="preserve">A clearly isolated, mechanical EPS reduction from interest and acquired-R&amp;D charges.</w:t>
      </w:r>
    </w:p>
    <w:p>
      <w:pPr>
        <w:pStyle w:val="Compact"/>
        <w:numPr>
          <w:ilvl w:val="0"/>
          <w:numId w:val="1009"/>
        </w:numPr>
      </w:pPr>
      <w:r>
        <w:t xml:space="preserve">No major increase in recurring operating expense beyond what is needed to support growth.</w:t>
      </w:r>
    </w:p>
    <w:p>
      <w:pPr>
        <w:pStyle w:val="Compact"/>
        <w:numPr>
          <w:ilvl w:val="0"/>
          <w:numId w:val="1009"/>
        </w:numPr>
      </w:pPr>
      <w:r>
        <w:t xml:space="preserve">Continued confidence in 2027 Apellis accretion.</w:t>
      </w:r>
    </w:p>
    <w:p>
      <w:pPr>
        <w:pStyle w:val="Compact"/>
        <w:numPr>
          <w:ilvl w:val="0"/>
          <w:numId w:val="1009"/>
        </w:numPr>
      </w:pPr>
      <w:r>
        <w:t xml:space="preserve">A credible path to repay acquisition debt.</w:t>
      </w:r>
    </w:p>
    <w:bookmarkEnd w:id="30"/>
    <w:bookmarkStart w:id="31" w:name="disappointing-guidance-would-show"/>
    <w:p>
      <w:pPr>
        <w:pStyle w:val="Heading3"/>
      </w:pPr>
      <w:r>
        <w:t xml:space="preserve">Disappointing guidance would show:</w:t>
      </w:r>
    </w:p>
    <w:p>
      <w:pPr>
        <w:pStyle w:val="Compact"/>
        <w:numPr>
          <w:ilvl w:val="0"/>
          <w:numId w:val="1010"/>
        </w:numPr>
      </w:pPr>
      <w:r>
        <w:t xml:space="preserve">A reduction in the underlying legacy-business outlook.</w:t>
      </w:r>
    </w:p>
    <w:p>
      <w:pPr>
        <w:pStyle w:val="Compact"/>
        <w:numPr>
          <w:ilvl w:val="0"/>
          <w:numId w:val="1010"/>
        </w:numPr>
      </w:pPr>
      <w:r>
        <w:t xml:space="preserve">Slower-than-expected SYFOVRE or EMPAVELI growth.</w:t>
      </w:r>
    </w:p>
    <w:p>
      <w:pPr>
        <w:pStyle w:val="Compact"/>
        <w:numPr>
          <w:ilvl w:val="0"/>
          <w:numId w:val="1010"/>
        </w:numPr>
      </w:pPr>
      <w:r>
        <w:t xml:space="preserve">Materially higher recurring SG&amp;A or R&amp;D.</w:t>
      </w:r>
    </w:p>
    <w:p>
      <w:pPr>
        <w:pStyle w:val="Compact"/>
        <w:numPr>
          <w:ilvl w:val="0"/>
          <w:numId w:val="1010"/>
        </w:numPr>
      </w:pPr>
      <w:r>
        <w:t xml:space="preserve">Delayed accretion or weaker free cash flow.</w:t>
      </w:r>
    </w:p>
    <w:p>
      <w:pPr>
        <w:pStyle w:val="Compact"/>
        <w:numPr>
          <w:ilvl w:val="0"/>
          <w:numId w:val="1010"/>
        </w:numPr>
      </w:pPr>
      <w:r>
        <w:t xml:space="preserve">Further erosion in MS that overwhelms the launch portfolio.</w:t>
      </w:r>
    </w:p>
    <w:p>
      <w:pPr>
        <w:pStyle w:val="FirstParagraph"/>
      </w:pPr>
      <w:r>
        <w:t xml:space="preserve">Because company-defined non-GAAP EPS includes acquired-R&amp;D charges, a lower headline EPS range may be largely mechanical. Investors should reconstruct guidance</w:t>
      </w:r>
      <w:r>
        <w:t xml:space="preserve"> </w:t>
      </w:r>
      <w:r>
        <w:rPr>
          <w:b/>
          <w:bCs/>
        </w:rPr>
        <w:t xml:space="preserve">before those charges</w:t>
      </w:r>
      <w:r>
        <w:t xml:space="preserve"> </w:t>
      </w:r>
      <w:r>
        <w:t xml:space="preserve">to determine whether the operating outlook has actually weakened.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6" w:name="bullbasebear-framework"/>
    <w:p>
      <w:pPr>
        <w:pStyle w:val="Heading2"/>
      </w:pPr>
      <w:r>
        <w:t xml:space="preserve">Bull/base/bear framework</w:t>
      </w:r>
    </w:p>
    <w:bookmarkStart w:id="33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1"/>
        </w:numPr>
      </w:pPr>
      <w:r>
        <w:t xml:space="preserve">Revenue comfortably clears roughly $2.5 billion.</w:t>
      </w:r>
    </w:p>
    <w:p>
      <w:pPr>
        <w:pStyle w:val="Compact"/>
        <w:numPr>
          <w:ilvl w:val="0"/>
          <w:numId w:val="1011"/>
        </w:numPr>
      </w:pPr>
      <w:r>
        <w:t xml:space="preserve">LEQEMBI and SKYCLARYS show clean sequential demand growth.</w:t>
      </w:r>
    </w:p>
    <w:p>
      <w:pPr>
        <w:pStyle w:val="Compact"/>
        <w:numPr>
          <w:ilvl w:val="0"/>
          <w:numId w:val="1011"/>
        </w:numPr>
      </w:pPr>
      <w:r>
        <w:t xml:space="preserve">Apellis products remain on a strong trajectory.</w:t>
      </w:r>
    </w:p>
    <w:p>
      <w:pPr>
        <w:pStyle w:val="Compact"/>
        <w:numPr>
          <w:ilvl w:val="0"/>
          <w:numId w:val="1011"/>
        </w:numPr>
      </w:pPr>
      <w:r>
        <w:t xml:space="preserve">Updated guidance indicates little deterioration in the legacy business.</w:t>
      </w:r>
    </w:p>
    <w:p>
      <w:pPr>
        <w:pStyle w:val="Compact"/>
        <w:numPr>
          <w:ilvl w:val="0"/>
          <w:numId w:val="1011"/>
        </w:numPr>
      </w:pPr>
      <w:r>
        <w:t xml:space="preserve">Management reiterates 2027 accretion and rapid deleveraging.</w:t>
      </w:r>
    </w:p>
    <w:p>
      <w:pPr>
        <w:pStyle w:val="Compact"/>
        <w:numPr>
          <w:ilvl w:val="0"/>
          <w:numId w:val="1011"/>
        </w:numPr>
      </w:pPr>
      <w:r>
        <w:t xml:space="preserve">Diranersen receives a clear, manageable Phase 3 plan.</w:t>
      </w:r>
    </w:p>
    <w:bookmarkEnd w:id="33"/>
    <w:bookmarkStart w:id="34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2"/>
        </w:numPr>
      </w:pPr>
      <w:r>
        <w:t xml:space="preserve">Revenue is near consensus, with mixed product-level results due to inventory and shipment timing.</w:t>
      </w:r>
    </w:p>
    <w:p>
      <w:pPr>
        <w:pStyle w:val="Compact"/>
        <w:numPr>
          <w:ilvl w:val="0"/>
          <w:numId w:val="1012"/>
        </w:numPr>
      </w:pPr>
      <w:r>
        <w:t xml:space="preserve">Guidance falls mechanically because of IPR&amp;D and financing costs but preserves underlying operating expectations.</w:t>
      </w:r>
    </w:p>
    <w:p>
      <w:pPr>
        <w:pStyle w:val="Compact"/>
        <w:numPr>
          <w:ilvl w:val="0"/>
          <w:numId w:val="1012"/>
        </w:numPr>
      </w:pPr>
      <w:r>
        <w:t xml:space="preserve">Apellis integration appears on track, although meaningful synergies are deferred.</w:t>
      </w:r>
    </w:p>
    <w:p>
      <w:pPr>
        <w:pStyle w:val="Compact"/>
        <w:numPr>
          <w:ilvl w:val="0"/>
          <w:numId w:val="1012"/>
        </w:numPr>
      </w:pPr>
      <w:r>
        <w:t xml:space="preserve">Diranersen advances, but key Phase 3 details remain unresolved.</w:t>
      </w:r>
    </w:p>
    <w:bookmarkEnd w:id="34"/>
    <w:bookmarkStart w:id="35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3"/>
        </w:numPr>
      </w:pPr>
      <w:r>
        <w:t xml:space="preserve">Legacy MS reversals and weaker contract-manufacturing revenue drive a miss.</w:t>
      </w:r>
    </w:p>
    <w:p>
      <w:pPr>
        <w:pStyle w:val="Compact"/>
        <w:numPr>
          <w:ilvl w:val="0"/>
          <w:numId w:val="1013"/>
        </w:numPr>
      </w:pPr>
      <w:r>
        <w:t xml:space="preserve">LEQEMBI growth is modest and SKYCLARYS is affected by reimbursement timing.</w:t>
      </w:r>
    </w:p>
    <w:p>
      <w:pPr>
        <w:pStyle w:val="Compact"/>
        <w:numPr>
          <w:ilvl w:val="0"/>
          <w:numId w:val="1013"/>
        </w:numPr>
      </w:pPr>
      <w:r>
        <w:t xml:space="preserve">SYFOVRE is flat or slows despite additional promotional investment.</w:t>
      </w:r>
    </w:p>
    <w:p>
      <w:pPr>
        <w:pStyle w:val="Compact"/>
        <w:numPr>
          <w:ilvl w:val="0"/>
          <w:numId w:val="1013"/>
        </w:numPr>
      </w:pPr>
      <w:r>
        <w:t xml:space="preserve">Updated guidance implies operating deterioration beyond disclosed charges.</w:t>
      </w:r>
    </w:p>
    <w:p>
      <w:pPr>
        <w:pStyle w:val="Compact"/>
        <w:numPr>
          <w:ilvl w:val="0"/>
          <w:numId w:val="1013"/>
        </w:numPr>
      </w:pPr>
      <w:r>
        <w:t xml:space="preserve">Free cash flow and debt repayment expectations weaken.</w:t>
      </w:r>
    </w:p>
    <w:p>
      <w:pPr>
        <w:pStyle w:val="Compact"/>
        <w:numPr>
          <w:ilvl w:val="0"/>
          <w:numId w:val="1013"/>
        </w:numPr>
      </w:pPr>
      <w:r>
        <w:t xml:space="preserve">Management cannot articulate a convincing regulatory path for diranersen.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most important number in this report probably will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be Q2 EPS. It will be the implied earnings power of the combined Biogen-Apellis business after normalizing acquired-R&amp;D charges, purchase accounting and financing costs.</w:t>
      </w:r>
    </w:p>
    <w:p>
      <w:pPr>
        <w:pStyle w:val="BodyText"/>
      </w:pPr>
      <w:r>
        <w:t xml:space="preserve">For the stock to respond positively, management needs to show that:</w:t>
      </w:r>
    </w:p>
    <w:p>
      <w:pPr>
        <w:pStyle w:val="Compact"/>
        <w:numPr>
          <w:ilvl w:val="0"/>
          <w:numId w:val="1014"/>
        </w:numPr>
      </w:pPr>
      <w:r>
        <w:t xml:space="preserve">The core Biogen business remains stable enough to fund growth.</w:t>
      </w:r>
    </w:p>
    <w:p>
      <w:pPr>
        <w:pStyle w:val="Compact"/>
        <w:numPr>
          <w:ilvl w:val="0"/>
          <w:numId w:val="1014"/>
        </w:numPr>
      </w:pPr>
      <w:r>
        <w:t xml:space="preserve">Apellis adds a genuine revenue-growth platform rather than merely more complexity and leverage.</w:t>
      </w:r>
    </w:p>
    <w:p>
      <w:pPr>
        <w:pStyle w:val="Compact"/>
        <w:numPr>
          <w:ilvl w:val="0"/>
          <w:numId w:val="1014"/>
        </w:numPr>
      </w:pPr>
      <w:r>
        <w:t xml:space="preserve">LEQEMBI and SKYCLARYS can offset legacy erosion.</w:t>
      </w:r>
    </w:p>
    <w:p>
      <w:pPr>
        <w:pStyle w:val="Compact"/>
        <w:numPr>
          <w:ilvl w:val="0"/>
          <w:numId w:val="1014"/>
        </w:numPr>
      </w:pPr>
      <w:r>
        <w:t xml:space="preserve">Diranersen has a credible, disciplined path into Phase 3.</w:t>
      </w:r>
    </w:p>
    <w:p>
      <w:pPr>
        <w:pStyle w:val="FirstParagraph"/>
      </w:pPr>
      <w:r>
        <w:t xml:space="preserve">A modest quarterly beat without convincing combined-company guidance would be less meaningful than an in-line quarter accompanied by strong product trends, clean guidance and a credible deleveraging plan.</w:t>
      </w:r>
    </w:p>
    <w:bookmarkEnd w:id="37"/>
    <w:bookmarkEnd w:id="3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https://biogen.gcs-web.com/news-releases/news-release-details/biogen-presents-phase-2-celia-data-aaic-demonstrating-meaningful" TargetMode="External" /><Relationship Type="http://schemas.openxmlformats.org/officeDocument/2006/relationships/hyperlink" Id="rId15" Target="https://investors.biogen.com/news-releases/news-release-details/biogen-completes-acquisition-apellis-pharmaceuticals?utm_source=openai" TargetMode="External" /><Relationship Type="http://schemas.openxmlformats.org/officeDocument/2006/relationships/hyperlink" Id="rId9" Target="https://investors.biogen.com/news-releases/news-release-details/biogen-report-second-quarter-2026-financial-results-july-29-2026?utm_source=openai" TargetMode="External" /><Relationship Type="http://schemas.openxmlformats.org/officeDocument/2006/relationships/hyperlink" Id="rId21" Target="https://investors.biogen.com/news-releases/news-release-details/fda-approves-leqembi-iqlikr-lecanemab-irmb-subcutaneous?utm_source=openai" TargetMode="External" /><Relationship Type="http://schemas.openxmlformats.org/officeDocument/2006/relationships/hyperlink" Id="rId13" Target="https://investors.biogen.com/node/30536/html?utm_source=openai" TargetMode="External" /><Relationship Type="http://schemas.openxmlformats.org/officeDocument/2006/relationships/hyperlink" Id="rId12" Target="https://investors.biogen.com/static-files/56dbc3cd-7326-43b2-91f3-424eed9ca9d3" TargetMode="External" /><Relationship Type="http://schemas.openxmlformats.org/officeDocument/2006/relationships/hyperlink" Id="rId11" Target="https://www.benzinga.com/quote/BIIB/earnings?utm_source=openai" TargetMode="External" /><Relationship Type="http://schemas.openxmlformats.org/officeDocument/2006/relationships/hyperlink" Id="rId16" Target="https://www.sec.gov/Archives/edgar/data/1492422/000149242226000108/apls-20260331.htm" TargetMode="External" /><Relationship Type="http://schemas.openxmlformats.org/officeDocument/2006/relationships/hyperlink" Id="rId18" Target="https://www.sec.gov/Archives/edgar/data/875045/000119312526222908/d109852d8k.ht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biogen.gcs-web.com/news-releases/news-release-details/biogen-presents-phase-2-celia-data-aaic-demonstrating-meaningful" TargetMode="External" /><Relationship Type="http://schemas.openxmlformats.org/officeDocument/2006/relationships/hyperlink" Id="rId15" Target="https://investors.biogen.com/news-releases/news-release-details/biogen-completes-acquisition-apellis-pharmaceuticals?utm_source=openai" TargetMode="External" /><Relationship Type="http://schemas.openxmlformats.org/officeDocument/2006/relationships/hyperlink" Id="rId9" Target="https://investors.biogen.com/news-releases/news-release-details/biogen-report-second-quarter-2026-financial-results-july-29-2026?utm_source=openai" TargetMode="External" /><Relationship Type="http://schemas.openxmlformats.org/officeDocument/2006/relationships/hyperlink" Id="rId21" Target="https://investors.biogen.com/news-releases/news-release-details/fda-approves-leqembi-iqlikr-lecanemab-irmb-subcutaneous?utm_source=openai" TargetMode="External" /><Relationship Type="http://schemas.openxmlformats.org/officeDocument/2006/relationships/hyperlink" Id="rId13" Target="https://investors.biogen.com/node/30536/html?utm_source=openai" TargetMode="External" /><Relationship Type="http://schemas.openxmlformats.org/officeDocument/2006/relationships/hyperlink" Id="rId12" Target="https://investors.biogen.com/static-files/56dbc3cd-7326-43b2-91f3-424eed9ca9d3" TargetMode="External" /><Relationship Type="http://schemas.openxmlformats.org/officeDocument/2006/relationships/hyperlink" Id="rId11" Target="https://www.benzinga.com/quote/BIIB/earnings?utm_source=openai" TargetMode="External" /><Relationship Type="http://schemas.openxmlformats.org/officeDocument/2006/relationships/hyperlink" Id="rId16" Target="https://www.sec.gov/Archives/edgar/data/1492422/000149242226000108/apls-20260331.htm" TargetMode="External" /><Relationship Type="http://schemas.openxmlformats.org/officeDocument/2006/relationships/hyperlink" Id="rId18" Target="https://www.sec.gov/Archives/edgar/data/875045/000119312526222908/d109852d8k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2026-07-29T00:26:53Z</dcterms:created>
  <dcterms:modified xsi:type="dcterms:W3CDTF">2026-07-29T00:26:53Z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