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Biogen Inc. (BIIB)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Biogen Inc.</w:t>
            </w:r>
          </w:p>
        </w:tc>
      </w:tr>
      <w:tr>
        <w:tc>
          <w:tcPr>
            <w:tcW w:type="dxa" w:w="4320"/>
          </w:tcPr>
          <w:p>
            <w:r>
              <w:rPr>
                <w:rFonts w:ascii="Calibri" w:hAnsi="Calibri"/>
                <w:b/>
                <w:sz w:val="22"/>
              </w:rPr>
              <w:t>Ticker</w:t>
            </w:r>
          </w:p>
        </w:tc>
        <w:tc>
          <w:tcPr>
            <w:tcW w:type="dxa" w:w="4320"/>
          </w:tcPr>
          <w:p>
            <w:r>
              <w:rPr>
                <w:rFonts w:ascii="Calibri" w:hAnsi="Calibri"/>
                <w:sz w:val="22"/>
              </w:rPr>
              <w:t>BIIB (Nasdaq)</w:t>
            </w:r>
          </w:p>
        </w:tc>
      </w:tr>
      <w:tr>
        <w:tc>
          <w:tcPr>
            <w:tcW w:type="dxa" w:w="4320"/>
          </w:tcPr>
          <w:p>
            <w:r>
              <w:rPr>
                <w:rFonts w:ascii="Calibri" w:hAnsi="Calibri"/>
                <w:b/>
                <w:sz w:val="22"/>
              </w:rPr>
              <w:t>Upcoming Earnings Date</w:t>
            </w:r>
          </w:p>
        </w:tc>
        <w:tc>
          <w:tcPr>
            <w:tcW w:type="dxa" w:w="4320"/>
          </w:tcPr>
          <w:p>
            <w:r>
              <w:rPr>
                <w:rFonts w:ascii="Calibri" w:hAnsi="Calibri"/>
                <w:sz w:val="22"/>
              </w:rPr>
              <w:t>Expected Late July / Early August 2026</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Preparation Date</w:t>
            </w:r>
          </w:p>
        </w:tc>
        <w:tc>
          <w:tcPr>
            <w:tcW w:type="dxa" w:w="4320"/>
          </w:tcPr>
          <w:p>
            <w:r>
              <w:rPr>
                <w:rFonts w:ascii="Calibri" w:hAnsi="Calibri"/>
                <w:sz w:val="22"/>
              </w:rPr>
              <w:t>July 28, 2026</w:t>
            </w:r>
          </w:p>
        </w:tc>
      </w:tr>
      <w:tr>
        <w:tc>
          <w:tcPr>
            <w:tcW w:type="dxa" w:w="4320"/>
          </w:tcPr>
          <w:p>
            <w:r>
              <w:rPr>
                <w:rFonts w:ascii="Calibri" w:hAnsi="Calibri"/>
                <w:b/>
                <w:sz w:val="22"/>
              </w:rPr>
              <w:t>Sector / Sub-sector</w:t>
            </w:r>
          </w:p>
        </w:tc>
        <w:tc>
          <w:tcPr>
            <w:tcW w:type="dxa" w:w="4320"/>
          </w:tcPr>
          <w:p>
            <w:r>
              <w:rPr>
                <w:rFonts w:ascii="Calibri" w:hAnsi="Calibri"/>
                <w:sz w:val="22"/>
              </w:rPr>
              <w:t>Biotechnology / Neurology, Rare Disease, Immunology</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is mixed — consensus has been revised down sharply since Q1 earnings (non-GAAP EPS from ~$3.13 to ~$1.97), almost entirely driven by a known ~$0.95/share acquired IPR&amp;D charge disclosed in the July 1 8-K; the underlying business bar is manageable, and the first full quarter of Apellis consolidation is the key wildcard.</w:t>
      </w:r>
    </w:p>
    <w:p>
      <w:r>
        <w:rPr>
          <w:rFonts w:ascii="Calibri" w:hAnsi="Calibri"/>
          <w:color w:val="525866"/>
          <w:sz w:val="22"/>
        </w:rPr>
        <w:t xml:space="preserve">Consensus non-GAAP EPS of ~$1.97 is a </w:t>
      </w:r>
      <w:r>
        <w:rPr>
          <w:rFonts w:ascii="Calibri" w:hAnsi="Calibri"/>
          <w:b/>
          <w:color w:val="525866"/>
          <w:sz w:val="22"/>
        </w:rPr>
        <w:t>deliberately low bar</w:t>
      </w:r>
      <w:r>
        <w:rPr>
          <w:rFonts w:ascii="Calibri" w:hAnsi="Calibri"/>
          <w:color w:val="525866"/>
          <w:sz w:val="22"/>
        </w:rPr>
        <w:t xml:space="preserve"> — the July 1 8-K disclosed a ~$0.95/share acquired IPR&amp;D charge for Q2, slightly above the $0.80 guided on the Q1 call, and stripping this out implies underlying EPS of ~$2.87, a reasonable figure given Apellis financing drag (~$30–35M to other income/expense). </w:t>
      </w:r>
      <w:r>
        <w:rPr>
          <w:rFonts w:ascii="Calibri" w:hAnsi="Calibri"/>
          <w:b/>
          <w:color w:val="525866"/>
          <w:sz w:val="22"/>
        </w:rPr>
        <w:t>Management's most important deliverable with Q2 results is the first full consolidated 2026 guidance including Apellis</w:t>
      </w:r>
      <w:r>
        <w:rPr>
          <w:rFonts w:ascii="Calibri" w:hAnsi="Calibri"/>
          <w:color w:val="525866"/>
          <w:sz w:val="22"/>
        </w:rPr>
        <w:t xml:space="preserve"> — investors have been operating without a complete picture since the May 14 acquisition close, and the quality and range of that guidance will set the tone for the stock more than the headline EPS print. Estimate revisions since Q1 earnings tell a bifurcated story: revenue consensus has drifted modestly higher (+1.6% for Q2, +1.6% for FY), suggesting the Street is incrementally constructive on the underlying business, while EPS estimates collapsed mechanically on the disclosed IPR&amp;D charge — a revision that is noise, not signal. </w:t>
      </w:r>
      <w:r>
        <w:rPr>
          <w:rFonts w:ascii="Calibri" w:hAnsi="Calibri"/>
          <w:b/>
          <w:color w:val="525866"/>
          <w:sz w:val="22"/>
        </w:rPr>
        <w:t>BIIB is up ~5.8% since Q1 earnings (from $194.38 to ~$205.61)</w:t>
      </w:r>
      <w:r>
        <w:rPr>
          <w:rFonts w:ascii="Calibri" w:hAnsi="Calibri"/>
          <w:color w:val="525866"/>
          <w:sz w:val="22"/>
        </w:rPr>
        <w:t xml:space="preserve">, significantly underperforming the biotech sector; the stock spiked ~11% in late June before pulling back ~3% on the July 1 charge warning, and the current level reflects investor skepticism about near-term EPS trajectory and Apellis integration risk despite strong underlying execution. The single biggest wildcard is </w:t>
      </w:r>
      <w:r>
        <w:rPr>
          <w:rFonts w:ascii="Calibri" w:hAnsi="Calibri"/>
          <w:b/>
          <w:color w:val="525866"/>
          <w:sz w:val="22"/>
        </w:rPr>
        <w:t>the magnitude and quality of Apellis revenue contribution (SYFOVRE + EMPAVELI) in Q2 and the full-year consolidated guidance range</w:t>
      </w:r>
      <w:r>
        <w:rPr>
          <w:rFonts w:ascii="Calibri" w:hAnsi="Calibri"/>
          <w:color w:val="525866"/>
          <w:sz w:val="22"/>
        </w:rPr>
        <w:t xml:space="preserve"> — LEQEMBI IQLIK initiation approval (received post-Q1) and diranersen Phase 3 advancement confirmed at AAIC (July 14) are secondary catalysts that could re-rate the pipeline narrative.</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Revenue consensus of ~$2.46B is a modest bar with a consistent history of beats; the real focus is on Apellis contribution (first full quarter) and full-year consolidated guidance. </w:t>
      </w:r>
      <w:r>
        <w:rPr>
          <w:rFonts w:ascii="Calibri" w:hAnsi="Calibri"/>
          <w:b/>
          <w:color w:val="525866"/>
          <w:sz w:val="22"/>
        </w:rPr>
        <w:t>Non-GAAP EPS of ~$1.97 is depressed by the known IPR&amp;D charge and is not the operative metric for judging the print.</w:t>
      </w:r>
    </w:p>
    <w:p>
      <w:pPr>
        <w:pStyle w:val="Heading3"/>
      </w:pPr>
      <w:r>
        <w:rPr>
          <w:rFonts w:ascii="Calibri" w:hAnsi="Calibri"/>
          <w:b/>
          <w:color w:val="3B4259"/>
          <w:sz w:val="24"/>
        </w:rPr>
        <w:t>Table 1 — Current Quarter Snapshot (Q2 2026,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Revenue</w:t>
            </w:r>
          </w:p>
        </w:tc>
        <w:tc>
          <w:tcPr>
            <w:tcW w:type="dxa" w:w="1234"/>
          </w:tcPr>
          <w:p>
            <w:r>
              <w:rPr>
                <w:rFonts w:ascii="Calibri" w:hAnsi="Calibri"/>
                <w:sz w:val="22"/>
              </w:rPr>
              <w:t>$2,477.8M</w:t>
            </w:r>
          </w:p>
        </w:tc>
        <w:tc>
          <w:tcPr>
            <w:tcW w:type="dxa" w:w="1234"/>
          </w:tcPr>
          <w:p>
            <w:r>
              <w:rPr>
                <w:rFonts w:ascii="Calibri" w:hAnsi="Calibri"/>
                <w:sz w:val="22"/>
              </w:rPr>
              <w:t>$2,645.5M</w:t>
            </w:r>
          </w:p>
        </w:tc>
        <w:tc>
          <w:tcPr>
            <w:tcW w:type="dxa" w:w="1234"/>
          </w:tcPr>
          <w:p>
            <w:r>
              <w:rPr>
                <w:rFonts w:ascii="Calibri" w:hAnsi="Calibri"/>
                <w:sz w:val="22"/>
              </w:rPr>
              <w:t>$2,455.5M</w:t>
            </w:r>
          </w:p>
        </w:tc>
        <w:tc>
          <w:tcPr>
            <w:tcW w:type="dxa" w:w="1234"/>
          </w:tcPr>
          <w:p>
            <w:r>
              <w:rPr>
                <w:rFonts w:ascii="Calibri" w:hAnsi="Calibri"/>
                <w:b/>
                <w:color w:val="E5484D"/>
                <w:sz w:val="22"/>
              </w:rPr>
              <w:t>-7.2%</w:t>
            </w:r>
          </w:p>
        </w:tc>
        <w:tc>
          <w:tcPr>
            <w:tcW w:type="dxa" w:w="1234"/>
          </w:tcPr>
          <w:p>
            <w:r>
              <w:rPr>
                <w:rFonts w:ascii="Calibri" w:hAnsi="Calibri"/>
                <w:sz w:val="22"/>
              </w:rPr>
              <w:t>Mid-SD% decline (FY)</w:t>
            </w:r>
          </w:p>
        </w:tc>
        <w:tc>
          <w:tcPr>
            <w:tcW w:type="dxa" w:w="1234"/>
          </w:tcPr>
          <w:p>
            <w:r>
              <w:rPr>
                <w:rFonts w:ascii="Calibri" w:hAnsi="Calibri"/>
                <w:sz w:val="22"/>
              </w:rPr>
              <w:t>N/A — quarterly not guided</w:t>
            </w:r>
          </w:p>
        </w:tc>
      </w:tr>
      <w:tr>
        <w:tc>
          <w:tcPr>
            <w:tcW w:type="dxa" w:w="1234"/>
          </w:tcPr>
          <w:p>
            <w:r>
              <w:rPr>
                <w:rFonts w:ascii="Calibri" w:hAnsi="Calibri"/>
                <w:sz w:val="22"/>
              </w:rPr>
              <w:t>Non-GAAP EPS (Diluted)</w:t>
            </w:r>
          </w:p>
        </w:tc>
        <w:tc>
          <w:tcPr>
            <w:tcW w:type="dxa" w:w="1234"/>
          </w:tcPr>
          <w:p>
            <w:r>
              <w:rPr>
                <w:rFonts w:ascii="Calibri" w:hAnsi="Calibri"/>
                <w:sz w:val="22"/>
              </w:rPr>
              <w:t>$3.57</w:t>
            </w:r>
          </w:p>
        </w:tc>
        <w:tc>
          <w:tcPr>
            <w:tcW w:type="dxa" w:w="1234"/>
          </w:tcPr>
          <w:p>
            <w:r>
              <w:rPr>
                <w:rFonts w:ascii="Calibri" w:hAnsi="Calibri"/>
                <w:sz w:val="22"/>
              </w:rPr>
              <w:t>$5.47</w:t>
            </w:r>
          </w:p>
        </w:tc>
        <w:tc>
          <w:tcPr>
            <w:tcW w:type="dxa" w:w="1234"/>
          </w:tcPr>
          <w:p>
            <w:r>
              <w:rPr>
                <w:rFonts w:ascii="Calibri" w:hAnsi="Calibri"/>
                <w:sz w:val="22"/>
              </w:rPr>
              <w:t>$1.97</w:t>
            </w:r>
          </w:p>
        </w:tc>
        <w:tc>
          <w:tcPr>
            <w:tcW w:type="dxa" w:w="1234"/>
          </w:tcPr>
          <w:p>
            <w:r>
              <w:rPr>
                <w:rFonts w:ascii="Calibri" w:hAnsi="Calibri"/>
                <w:b/>
                <w:color w:val="E5484D"/>
                <w:sz w:val="22"/>
              </w:rPr>
              <w:t>-64.0%</w:t>
            </w:r>
          </w:p>
        </w:tc>
        <w:tc>
          <w:tcPr>
            <w:tcW w:type="dxa" w:w="1234"/>
          </w:tcPr>
          <w:p>
            <w:r>
              <w:rPr>
                <w:rFonts w:ascii="Calibri" w:hAnsi="Calibri"/>
                <w:sz w:val="22"/>
              </w:rPr>
              <w:t>Depressed by ~$0.95 IPR&amp;D charge</w:t>
            </w:r>
          </w:p>
        </w:tc>
        <w:tc>
          <w:tcPr>
            <w:tcW w:type="dxa" w:w="1234"/>
          </w:tcPr>
          <w:p>
            <w:r>
              <w:rPr>
                <w:rFonts w:ascii="Calibri" w:hAnsi="Calibri"/>
                <w:sz w:val="22"/>
              </w:rPr>
              <w:t>N/A — charge-driven</w:t>
            </w:r>
          </w:p>
        </w:tc>
      </w:tr>
      <w:tr>
        <w:tc>
          <w:tcPr>
            <w:tcW w:type="dxa" w:w="1234"/>
          </w:tcPr>
          <w:p>
            <w:r>
              <w:rPr>
                <w:rFonts w:ascii="Calibri" w:hAnsi="Calibri"/>
                <w:sz w:val="22"/>
              </w:rPr>
              <w:t>LEQEMBI Revenue (Biogen Share)</w:t>
            </w:r>
          </w:p>
        </w:tc>
        <w:tc>
          <w:tcPr>
            <w:tcW w:type="dxa" w:w="1234"/>
          </w:tcPr>
          <w:p>
            <w:r>
              <w:rPr>
                <w:rFonts w:ascii="Calibri" w:hAnsi="Calibri"/>
                <w:sz w:val="22"/>
              </w:rPr>
              <w:t>$59.5M</w:t>
            </w:r>
          </w:p>
        </w:tc>
        <w:tc>
          <w:tcPr>
            <w:tcW w:type="dxa" w:w="1234"/>
          </w:tcPr>
          <w:p>
            <w:r>
              <w:rPr>
                <w:rFonts w:ascii="Calibri" w:hAnsi="Calibri"/>
                <w:sz w:val="22"/>
              </w:rPr>
              <w:t>$54.9M</w:t>
            </w:r>
          </w:p>
        </w:tc>
        <w:tc>
          <w:tcPr>
            <w:tcW w:type="dxa" w:w="1234"/>
          </w:tcPr>
          <w:p>
            <w:r>
              <w:rPr>
                <w:rFonts w:ascii="Calibri" w:hAnsi="Calibri"/>
                <w:sz w:val="22"/>
              </w:rPr>
              <w:t>$51.8M</w:t>
            </w:r>
          </w:p>
        </w:tc>
        <w:tc>
          <w:tcPr>
            <w:tcW w:type="dxa" w:w="1234"/>
          </w:tcPr>
          <w:p>
            <w:r>
              <w:rPr>
                <w:rFonts w:ascii="Calibri" w:hAnsi="Calibri"/>
                <w:b/>
                <w:color w:val="E5484D"/>
                <w:sz w:val="22"/>
              </w:rPr>
              <w:t>-5.6%</w:t>
            </w:r>
          </w:p>
        </w:tc>
        <w:tc>
          <w:tcPr>
            <w:tcW w:type="dxa" w:w="1234"/>
          </w:tcPr>
          <w:p>
            <w:r>
              <w:rPr>
                <w:rFonts w:ascii="Calibri" w:hAnsi="Calibri"/>
                <w:sz w:val="22"/>
              </w:rPr>
              <w:t>Sequential growth</w:t>
            </w:r>
          </w:p>
        </w:tc>
        <w:tc>
          <w:tcPr>
            <w:tcW w:type="dxa" w:w="1234"/>
          </w:tcPr>
          <w:p>
            <w:r>
              <w:rPr>
                <w:rFonts w:ascii="Calibri" w:hAnsi="Calibri"/>
                <w:sz w:val="22"/>
              </w:rPr>
              <w:t>Below prior trend</w:t>
            </w:r>
          </w:p>
        </w:tc>
      </w:tr>
      <w:tr>
        <w:tc>
          <w:tcPr>
            <w:tcW w:type="dxa" w:w="1234"/>
          </w:tcPr>
          <w:p>
            <w:r>
              <w:rPr>
                <w:rFonts w:ascii="Calibri" w:hAnsi="Calibri"/>
                <w:sz w:val="22"/>
              </w:rPr>
              <w:t>SPINRAZA Revenue</w:t>
            </w:r>
          </w:p>
        </w:tc>
        <w:tc>
          <w:tcPr>
            <w:tcW w:type="dxa" w:w="1234"/>
          </w:tcPr>
          <w:p>
            <w:r>
              <w:rPr>
                <w:rFonts w:ascii="Calibri" w:hAnsi="Calibri"/>
                <w:sz w:val="22"/>
              </w:rPr>
              <w:t>$374.0M</w:t>
            </w:r>
          </w:p>
        </w:tc>
        <w:tc>
          <w:tcPr>
            <w:tcW w:type="dxa" w:w="1234"/>
          </w:tcPr>
          <w:p>
            <w:r>
              <w:rPr>
                <w:rFonts w:ascii="Calibri" w:hAnsi="Calibri"/>
                <w:sz w:val="22"/>
              </w:rPr>
              <w:t>$392.7M</w:t>
            </w:r>
          </w:p>
        </w:tc>
        <w:tc>
          <w:tcPr>
            <w:tcW w:type="dxa" w:w="1234"/>
          </w:tcPr>
          <w:p>
            <w:r>
              <w:rPr>
                <w:rFonts w:ascii="Calibri" w:hAnsi="Calibri"/>
                <w:sz w:val="22"/>
              </w:rPr>
              <w:t>$384.8M</w:t>
            </w:r>
          </w:p>
        </w:tc>
        <w:tc>
          <w:tcPr>
            <w:tcW w:type="dxa" w:w="1234"/>
          </w:tcPr>
          <w:p>
            <w:r>
              <w:rPr>
                <w:rFonts w:ascii="Calibri" w:hAnsi="Calibri"/>
                <w:sz w:val="22"/>
              </w:rPr>
              <w:t>-2.0%</w:t>
            </w:r>
          </w:p>
        </w:tc>
        <w:tc>
          <w:tcPr>
            <w:tcW w:type="dxa" w:w="1234"/>
          </w:tcPr>
          <w:p>
            <w:r>
              <w:rPr>
                <w:rFonts w:ascii="Calibri" w:hAnsi="Calibri"/>
                <w:sz w:val="22"/>
              </w:rPr>
              <w:t>Stable</w:t>
            </w:r>
          </w:p>
        </w:tc>
        <w:tc>
          <w:tcPr>
            <w:tcW w:type="dxa" w:w="1234"/>
          </w:tcPr>
          <w:p>
            <w:r>
              <w:rPr>
                <w:rFonts w:ascii="Calibri" w:hAnsi="Calibri"/>
                <w:sz w:val="22"/>
              </w:rPr>
              <w:t>In line</w:t>
            </w:r>
          </w:p>
        </w:tc>
      </w:tr>
      <w:tr>
        <w:tc>
          <w:tcPr>
            <w:tcW w:type="dxa" w:w="1234"/>
          </w:tcPr>
          <w:p>
            <w:r>
              <w:rPr>
                <w:rFonts w:ascii="Calibri" w:hAnsi="Calibri"/>
                <w:sz w:val="22"/>
              </w:rPr>
              <w:t>SKYCLARYS US Revenue</w:t>
            </w:r>
          </w:p>
        </w:tc>
        <w:tc>
          <w:tcPr>
            <w:tcW w:type="dxa" w:w="1234"/>
          </w:tcPr>
          <w:p>
            <w:r>
              <w:rPr>
                <w:rFonts w:ascii="Calibri" w:hAnsi="Calibri"/>
                <w:sz w:val="22"/>
              </w:rPr>
              <w:t>$71.8M</w:t>
            </w:r>
          </w:p>
        </w:tc>
        <w:tc>
          <w:tcPr>
            <w:tcW w:type="dxa" w:w="1234"/>
          </w:tcPr>
          <w:p>
            <w:r>
              <w:rPr>
                <w:rFonts w:ascii="Calibri" w:hAnsi="Calibri"/>
                <w:sz w:val="22"/>
              </w:rPr>
              <w:t>$78.0M</w:t>
            </w:r>
          </w:p>
        </w:tc>
        <w:tc>
          <w:tcPr>
            <w:tcW w:type="dxa" w:w="1234"/>
          </w:tcPr>
          <w:p>
            <w:r>
              <w:rPr>
                <w:rFonts w:ascii="Calibri" w:hAnsi="Calibri"/>
                <w:sz w:val="22"/>
              </w:rPr>
              <w:t>$83.1M</w:t>
            </w:r>
          </w:p>
        </w:tc>
        <w:tc>
          <w:tcPr>
            <w:tcW w:type="dxa" w:w="1234"/>
          </w:tcPr>
          <w:p>
            <w:r>
              <w:rPr>
                <w:rFonts w:ascii="Calibri" w:hAnsi="Calibri"/>
                <w:b/>
                <w:color w:val="30A46C"/>
                <w:sz w:val="22"/>
              </w:rPr>
              <w:t>+6.5%</w:t>
            </w:r>
          </w:p>
        </w:tc>
        <w:tc>
          <w:tcPr>
            <w:tcW w:type="dxa" w:w="1234"/>
          </w:tcPr>
          <w:p>
            <w:r>
              <w:rPr>
                <w:rFonts w:ascii="Calibri" w:hAnsi="Calibri"/>
                <w:sz w:val="22"/>
              </w:rPr>
              <w:t>Continued growth</w:t>
            </w:r>
          </w:p>
        </w:tc>
        <w:tc>
          <w:tcPr>
            <w:tcW w:type="dxa" w:w="1234"/>
          </w:tcPr>
          <w:p>
            <w:r>
              <w:rPr>
                <w:rFonts w:ascii="Calibri" w:hAnsi="Calibri"/>
                <w:sz w:val="22"/>
              </w:rPr>
              <w:t>Above Q1</w:t>
            </w:r>
          </w:p>
        </w:tc>
      </w:tr>
      <w:tr>
        <w:tc>
          <w:tcPr>
            <w:tcW w:type="dxa" w:w="1234"/>
          </w:tcPr>
          <w:p>
            <w:r>
              <w:rPr>
                <w:rFonts w:ascii="Calibri" w:hAnsi="Calibri"/>
                <w:sz w:val="22"/>
              </w:rPr>
              <w:t>ZURZUVAE Revenue</w:t>
            </w:r>
          </w:p>
        </w:tc>
        <w:tc>
          <w:tcPr>
            <w:tcW w:type="dxa" w:w="1234"/>
          </w:tcPr>
          <w:p>
            <w:r>
              <w:rPr>
                <w:rFonts w:ascii="Calibri" w:hAnsi="Calibri"/>
                <w:sz w:val="22"/>
              </w:rPr>
              <w:t>$55.4M</w:t>
            </w:r>
          </w:p>
        </w:tc>
        <w:tc>
          <w:tcPr>
            <w:tcW w:type="dxa" w:w="1234"/>
          </w:tcPr>
          <w:p>
            <w:r>
              <w:rPr>
                <w:rFonts w:ascii="Calibri" w:hAnsi="Calibri"/>
                <w:sz w:val="22"/>
              </w:rPr>
              <w:t>$46.4M</w:t>
            </w:r>
          </w:p>
        </w:tc>
        <w:tc>
          <w:tcPr>
            <w:tcW w:type="dxa" w:w="1234"/>
          </w:tcPr>
          <w:p>
            <w:r>
              <w:rPr>
                <w:rFonts w:ascii="Calibri" w:hAnsi="Calibri"/>
                <w:sz w:val="22"/>
              </w:rPr>
              <w:t>$66.4M</w:t>
            </w:r>
          </w:p>
        </w:tc>
        <w:tc>
          <w:tcPr>
            <w:tcW w:type="dxa" w:w="1234"/>
          </w:tcPr>
          <w:p>
            <w:r>
              <w:rPr>
                <w:rFonts w:ascii="Calibri" w:hAnsi="Calibri"/>
                <w:b/>
                <w:color w:val="30A46C"/>
                <w:sz w:val="22"/>
              </w:rPr>
              <w:t>+43.1%</w:t>
            </w:r>
          </w:p>
        </w:tc>
        <w:tc>
          <w:tcPr>
            <w:tcW w:type="dxa" w:w="1234"/>
          </w:tcPr>
          <w:p>
            <w:r>
              <w:rPr>
                <w:rFonts w:ascii="Calibri" w:hAnsi="Calibri"/>
                <w:sz w:val="22"/>
              </w:rPr>
              <w:t>Continued growth</w:t>
            </w:r>
          </w:p>
        </w:tc>
        <w:tc>
          <w:tcPr>
            <w:tcW w:type="dxa" w:w="1234"/>
          </w:tcPr>
          <w:p>
            <w:r>
              <w:rPr>
                <w:rFonts w:ascii="Calibri" w:hAnsi="Calibri"/>
                <w:sz w:val="22"/>
              </w:rPr>
              <w:t>Strong</w:t>
            </w:r>
          </w:p>
        </w:tc>
      </w:tr>
      <w:tr>
        <w:tc>
          <w:tcPr>
            <w:tcW w:type="dxa" w:w="1234"/>
          </w:tcPr>
          <w:p>
            <w:r>
              <w:rPr>
                <w:rFonts w:ascii="Calibri" w:hAnsi="Calibri"/>
                <w:sz w:val="22"/>
              </w:rPr>
              <w:t>MS Franchise Revenue</w:t>
            </w:r>
          </w:p>
        </w:tc>
        <w:tc>
          <w:tcPr>
            <w:tcW w:type="dxa" w:w="1234"/>
          </w:tcPr>
          <w:p>
            <w:r>
              <w:rPr>
                <w:rFonts w:ascii="Calibri" w:hAnsi="Calibri"/>
                <w:sz w:val="22"/>
              </w:rPr>
              <w:t>$957.5M</w:t>
            </w:r>
          </w:p>
        </w:tc>
        <w:tc>
          <w:tcPr>
            <w:tcW w:type="dxa" w:w="1234"/>
          </w:tcPr>
          <w:p>
            <w:r>
              <w:rPr>
                <w:rFonts w:ascii="Calibri" w:hAnsi="Calibri"/>
                <w:sz w:val="22"/>
              </w:rPr>
              <w:t>$1,107.2M</w:t>
            </w:r>
          </w:p>
        </w:tc>
        <w:tc>
          <w:tcPr>
            <w:tcW w:type="dxa" w:w="1234"/>
          </w:tcPr>
          <w:p>
            <w:r>
              <w:rPr>
                <w:rFonts w:ascii="Calibri" w:hAnsi="Calibri"/>
                <w:sz w:val="22"/>
              </w:rPr>
              <w:t>$891.7M</w:t>
            </w:r>
          </w:p>
        </w:tc>
        <w:tc>
          <w:tcPr>
            <w:tcW w:type="dxa" w:w="1234"/>
          </w:tcPr>
          <w:p>
            <w:r>
              <w:rPr>
                <w:rFonts w:ascii="Calibri" w:hAnsi="Calibri"/>
                <w:b/>
                <w:color w:val="E5484D"/>
                <w:sz w:val="22"/>
              </w:rPr>
              <w:t>-19.4%</w:t>
            </w:r>
          </w:p>
        </w:tc>
        <w:tc>
          <w:tcPr>
            <w:tcW w:type="dxa" w:w="1234"/>
          </w:tcPr>
          <w:p>
            <w:r>
              <w:rPr>
                <w:rFonts w:ascii="Calibri" w:hAnsi="Calibri"/>
                <w:sz w:val="22"/>
              </w:rPr>
              <w:t>Declining (TECFIDERA erosion)</w:t>
            </w:r>
          </w:p>
        </w:tc>
        <w:tc>
          <w:tcPr>
            <w:tcW w:type="dxa" w:w="1234"/>
          </w:tcPr>
          <w:p>
            <w:r>
              <w:rPr>
                <w:rFonts w:ascii="Calibri" w:hAnsi="Calibri"/>
                <w:sz w:val="22"/>
              </w:rPr>
              <w:t>In line</w:t>
            </w:r>
          </w:p>
        </w:tc>
      </w:tr>
      <w:tr>
        <w:tc>
          <w:tcPr>
            <w:tcW w:type="dxa" w:w="1234"/>
          </w:tcPr>
          <w:p>
            <w:r>
              <w:rPr>
                <w:rFonts w:ascii="Calibri" w:hAnsi="Calibri"/>
                <w:sz w:val="22"/>
              </w:rPr>
              <w:t>SYFOVRE Revenue</w:t>
            </w:r>
          </w:p>
        </w:tc>
        <w:tc>
          <w:tcPr>
            <w:tcW w:type="dxa" w:w="1234"/>
          </w:tcPr>
          <w:p>
            <w:r>
              <w:rPr>
                <w:rFonts w:ascii="Calibri" w:hAnsi="Calibri"/>
                <w:sz w:val="22"/>
              </w:rPr>
              <w:t>$150.7M</w:t>
            </w:r>
          </w:p>
        </w:tc>
        <w:tc>
          <w:tcPr>
            <w:tcW w:type="dxa" w:w="1234"/>
          </w:tcPr>
          <w:p>
            <w:r>
              <w:rPr>
                <w:rFonts w:ascii="Calibri" w:hAnsi="Calibri"/>
                <w:sz w:val="22"/>
              </w:rPr>
              <w:t>N/A (pre-acquisition)</w:t>
            </w:r>
          </w:p>
        </w:tc>
        <w:tc>
          <w:tcPr>
            <w:tcW w:type="dxa" w:w="1234"/>
          </w:tcPr>
          <w:p>
            <w:r>
              <w:rPr>
                <w:rFonts w:ascii="Calibri" w:hAnsi="Calibri"/>
                <w:sz w:val="22"/>
              </w:rPr>
              <w:t>$68.9M</w:t>
            </w:r>
          </w:p>
        </w:tc>
        <w:tc>
          <w:tcPr>
            <w:tcW w:type="dxa" w:w="1234"/>
          </w:tcPr>
          <w:p>
            <w:r>
              <w:rPr>
                <w:rFonts w:ascii="Calibri" w:hAnsi="Calibri"/>
                <w:b/>
                <w:color w:val="002FA7"/>
                <w:sz w:val="22"/>
              </w:rPr>
              <w:t>N/A</w:t>
            </w:r>
          </w:p>
        </w:tc>
        <w:tc>
          <w:tcPr>
            <w:tcW w:type="dxa" w:w="1234"/>
          </w:tcPr>
          <w:p>
            <w:r>
              <w:rPr>
                <w:rFonts w:ascii="Calibri" w:hAnsi="Calibri"/>
                <w:sz w:val="22"/>
              </w:rPr>
              <w:t>Mid-to-high teen % growth (combined w/ EMPAVELI)</w:t>
            </w:r>
          </w:p>
        </w:tc>
        <w:tc>
          <w:tcPr>
            <w:tcW w:type="dxa" w:w="1234"/>
          </w:tcPr>
          <w:p>
            <w:r>
              <w:rPr>
                <w:rFonts w:ascii="Calibri" w:hAnsi="Calibri"/>
                <w:sz w:val="22"/>
              </w:rPr>
              <w:t>First full quarter</w:t>
            </w:r>
          </w:p>
        </w:tc>
      </w:tr>
      <w:tr>
        <w:tc>
          <w:tcPr>
            <w:tcW w:type="dxa" w:w="1234"/>
          </w:tcPr>
          <w:p>
            <w:r>
              <w:rPr>
                <w:rFonts w:ascii="Calibri" w:hAnsi="Calibri"/>
                <w:sz w:val="22"/>
              </w:rPr>
              <w:t>EMPAVELI Revenue</w:t>
            </w:r>
          </w:p>
        </w:tc>
        <w:tc>
          <w:tcPr>
            <w:tcW w:type="dxa" w:w="1234"/>
          </w:tcPr>
          <w:p>
            <w:r>
              <w:rPr>
                <w:rFonts w:ascii="Calibri" w:hAnsi="Calibri"/>
                <w:sz w:val="22"/>
              </w:rPr>
              <w:t>$41.3M</w:t>
            </w:r>
          </w:p>
        </w:tc>
        <w:tc>
          <w:tcPr>
            <w:tcW w:type="dxa" w:w="1234"/>
          </w:tcPr>
          <w:p>
            <w:r>
              <w:rPr>
                <w:rFonts w:ascii="Calibri" w:hAnsi="Calibri"/>
                <w:sz w:val="22"/>
              </w:rPr>
              <w:t>N/A (pre-acquisition)</w:t>
            </w:r>
          </w:p>
        </w:tc>
        <w:tc>
          <w:tcPr>
            <w:tcW w:type="dxa" w:w="1234"/>
          </w:tcPr>
          <w:p>
            <w:r>
              <w:rPr>
                <w:rFonts w:ascii="Calibri" w:hAnsi="Calibri"/>
                <w:sz w:val="22"/>
              </w:rPr>
              <w:t>$20.0M</w:t>
            </w:r>
          </w:p>
        </w:tc>
        <w:tc>
          <w:tcPr>
            <w:tcW w:type="dxa" w:w="1234"/>
          </w:tcPr>
          <w:p>
            <w:r>
              <w:rPr>
                <w:rFonts w:ascii="Calibri" w:hAnsi="Calibri"/>
                <w:b/>
                <w:color w:val="002FA7"/>
                <w:sz w:val="22"/>
              </w:rPr>
              <w:t>N/A</w:t>
            </w:r>
          </w:p>
        </w:tc>
        <w:tc>
          <w:tcPr>
            <w:tcW w:type="dxa" w:w="1234"/>
          </w:tcPr>
          <w:p>
            <w:r>
              <w:rPr>
                <w:rFonts w:ascii="Calibri" w:hAnsi="Calibri"/>
                <w:sz w:val="22"/>
              </w:rPr>
              <w:t>Mid-to-high teen % growth (combined)</w:t>
            </w:r>
          </w:p>
        </w:tc>
        <w:tc>
          <w:tcPr>
            <w:tcW w:type="dxa" w:w="1234"/>
          </w:tcPr>
          <w:p>
            <w:r>
              <w:rPr>
                <w:rFonts w:ascii="Calibri" w:hAnsi="Calibri"/>
                <w:sz w:val="22"/>
              </w:rPr>
              <w:t>First full quarter</w:t>
            </w:r>
          </w:p>
        </w:tc>
      </w:tr>
      <w:tr>
        <w:tc>
          <w:tcPr>
            <w:tcW w:type="dxa" w:w="1234"/>
          </w:tcPr>
          <w:p>
            <w:r>
              <w:rPr>
                <w:rFonts w:ascii="Calibri" w:hAnsi="Calibri"/>
                <w:sz w:val="22"/>
              </w:rPr>
              <w:t>Non-GAAP R&amp;D</w:t>
            </w:r>
          </w:p>
        </w:tc>
        <w:tc>
          <w:tcPr>
            <w:tcW w:type="dxa" w:w="1234"/>
          </w:tcPr>
          <w:p>
            <w:r>
              <w:rPr>
                <w:rFonts w:ascii="Calibri" w:hAnsi="Calibri"/>
                <w:sz w:val="22"/>
              </w:rPr>
              <w:t>$480.0M</w:t>
            </w:r>
          </w:p>
        </w:tc>
        <w:tc>
          <w:tcPr>
            <w:tcW w:type="dxa" w:w="1234"/>
          </w:tcPr>
          <w:p>
            <w:r>
              <w:rPr>
                <w:rFonts w:ascii="Calibri" w:hAnsi="Calibri"/>
                <w:sz w:val="22"/>
              </w:rPr>
              <w:t>$393.7M</w:t>
            </w:r>
          </w:p>
        </w:tc>
        <w:tc>
          <w:tcPr>
            <w:tcW w:type="dxa" w:w="1234"/>
          </w:tcPr>
          <w:p>
            <w:r>
              <w:rPr>
                <w:rFonts w:ascii="Calibri" w:hAnsi="Calibri"/>
                <w:sz w:val="22"/>
              </w:rPr>
              <w:t>$498.9M</w:t>
            </w:r>
          </w:p>
        </w:tc>
        <w:tc>
          <w:tcPr>
            <w:tcW w:type="dxa" w:w="1234"/>
          </w:tcPr>
          <w:p>
            <w:r>
              <w:rPr>
                <w:rFonts w:ascii="Calibri" w:hAnsi="Calibri"/>
                <w:sz w:val="22"/>
              </w:rPr>
              <w:t>+26.7%</w:t>
            </w:r>
          </w:p>
        </w:tc>
        <w:tc>
          <w:tcPr>
            <w:tcW w:type="dxa" w:w="1234"/>
          </w:tcPr>
          <w:p>
            <w:r>
              <w:rPr>
                <w:rFonts w:ascii="Calibri" w:hAnsi="Calibri"/>
                <w:sz w:val="22"/>
              </w:rPr>
              <w:t>Roughly consistent with Q1</w:t>
            </w:r>
          </w:p>
        </w:tc>
        <w:tc>
          <w:tcPr>
            <w:tcW w:type="dxa" w:w="1234"/>
          </w:tcPr>
          <w:p>
            <w:r>
              <w:rPr>
                <w:rFonts w:ascii="Calibri" w:hAnsi="Calibri"/>
                <w:sz w:val="22"/>
              </w:rPr>
              <w:t>Slightly above Q1</w:t>
            </w:r>
          </w:p>
        </w:tc>
      </w:tr>
      <w:tr>
        <w:tc>
          <w:tcPr>
            <w:tcW w:type="dxa" w:w="1234"/>
          </w:tcPr>
          <w:p>
            <w:r>
              <w:rPr>
                <w:rFonts w:ascii="Calibri" w:hAnsi="Calibri"/>
                <w:sz w:val="22"/>
              </w:rPr>
              <w:t>Non-GAAP SG&amp;A</w:t>
            </w:r>
          </w:p>
        </w:tc>
        <w:tc>
          <w:tcPr>
            <w:tcW w:type="dxa" w:w="1234"/>
          </w:tcPr>
          <w:p>
            <w:r>
              <w:rPr>
                <w:rFonts w:ascii="Calibri" w:hAnsi="Calibri"/>
                <w:sz w:val="22"/>
              </w:rPr>
              <w:t>$599.7M</w:t>
            </w:r>
          </w:p>
        </w:tc>
        <w:tc>
          <w:tcPr>
            <w:tcW w:type="dxa" w:w="1234"/>
          </w:tcPr>
          <w:p>
            <w:r>
              <w:rPr>
                <w:rFonts w:ascii="Calibri" w:hAnsi="Calibri"/>
                <w:sz w:val="22"/>
              </w:rPr>
              <w:t>$578.6M</w:t>
            </w:r>
          </w:p>
        </w:tc>
        <w:tc>
          <w:tcPr>
            <w:tcW w:type="dxa" w:w="1234"/>
          </w:tcPr>
          <w:p>
            <w:r>
              <w:rPr>
                <w:rFonts w:ascii="Calibri" w:hAnsi="Calibri"/>
                <w:sz w:val="22"/>
              </w:rPr>
              <w:t>$642.3M</w:t>
            </w:r>
          </w:p>
        </w:tc>
        <w:tc>
          <w:tcPr>
            <w:tcW w:type="dxa" w:w="1234"/>
          </w:tcPr>
          <w:p>
            <w:r>
              <w:rPr>
                <w:rFonts w:ascii="Calibri" w:hAnsi="Calibri"/>
                <w:sz w:val="22"/>
              </w:rPr>
              <w:t>+11.0%</w:t>
            </w:r>
          </w:p>
        </w:tc>
        <w:tc>
          <w:tcPr>
            <w:tcW w:type="dxa" w:w="1234"/>
          </w:tcPr>
          <w:p>
            <w:r>
              <w:rPr>
                <w:rFonts w:ascii="Calibri" w:hAnsi="Calibri"/>
                <w:sz w:val="22"/>
              </w:rPr>
              <w:t>Roughly consistent with Q1</w:t>
            </w:r>
          </w:p>
        </w:tc>
        <w:tc>
          <w:tcPr>
            <w:tcW w:type="dxa" w:w="1234"/>
          </w:tcPr>
          <w:p>
            <w:r>
              <w:rPr>
                <w:rFonts w:ascii="Calibri" w:hAnsi="Calibri"/>
                <w:sz w:val="22"/>
              </w:rPr>
              <w:t>Slightly above Q1</w:t>
            </w:r>
          </w:p>
        </w:tc>
      </w:tr>
    </w:tbl>
    <w:p>
      <w:r>
        <w:rPr>
          <w:rFonts w:ascii="Calibri" w:hAnsi="Calibri"/>
          <w:b/>
          <w:color w:val="525866"/>
          <w:sz w:val="22"/>
        </w:rPr>
        <w:t xml:space="preserve">Note: </w:t>
      </w:r>
      <w:r>
        <w:rPr>
          <w:rFonts w:ascii="Calibri" w:hAnsi="Calibri"/>
          <w:color w:val="525866"/>
          <w:sz w:val="22"/>
        </w:rPr>
        <w:t>SYFOVRE and EMPAVELI are first full quarter post-Apellis acquisition close (May 14, 2026). Q2 2025 actuals for these products reflect Apellis standalone (not consolidated in BIIB). LEQEMBI Q1 2026 actual reflects Biogen’s revenue share from the collaboration. All consensus figures sourced from Visible Alpha.</w:t>
      </w:r>
    </w:p>
    <w:p>
      <w:pPr>
        <w:pStyle w:val="Heading3"/>
      </w:pPr>
      <w:r>
        <w:rPr>
          <w:rFonts w:ascii="Calibri" w:hAnsi="Calibri"/>
          <w:b/>
          <w:color w:val="3B4259"/>
          <w:sz w:val="24"/>
        </w:rPr>
        <w:t>Table 2 — Beat/Miss History (Last 8 Quarters, Top 2 KPIs: Total Revenue &amp; Non-GAAP EPS)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Quarter</w:t>
            </w:r>
          </w:p>
        </w:tc>
        <w:tc>
          <w:tcPr>
            <w:tcW w:type="dxa" w:w="1080"/>
            <w:shd w:val="clear" w:color="auto" w:fill="3B4259"/>
          </w:tcPr>
          <w:p>
            <w:r>
              <w:rPr>
                <w:rFonts w:ascii="Calibri" w:hAnsi="Calibri"/>
                <w:b/>
                <w:color w:val="FFFFFF"/>
                <w:sz w:val="22"/>
              </w:rPr>
              <w:t>Revenue Reported</w:t>
            </w:r>
          </w:p>
        </w:tc>
        <w:tc>
          <w:tcPr>
            <w:tcW w:type="dxa" w:w="1080"/>
            <w:shd w:val="clear" w:color="auto" w:fill="3B4259"/>
          </w:tcPr>
          <w:p>
            <w:r>
              <w:rPr>
                <w:rFonts w:ascii="Calibri" w:hAnsi="Calibri"/>
                <w:b/>
                <w:color w:val="FFFFFF"/>
                <w:sz w:val="22"/>
              </w:rPr>
              <w:t>Revenue Consensus</w:t>
            </w:r>
          </w:p>
        </w:tc>
        <w:tc>
          <w:tcPr>
            <w:tcW w:type="dxa" w:w="1080"/>
            <w:shd w:val="clear" w:color="auto" w:fill="3B4259"/>
          </w:tcPr>
          <w:p>
            <w:r>
              <w:rPr>
                <w:rFonts w:ascii="Calibri" w:hAnsi="Calibri"/>
                <w:b/>
                <w:color w:val="FFFFFF"/>
                <w:sz w:val="22"/>
              </w:rPr>
              <w:t>Rev. Surprise</w:t>
            </w:r>
          </w:p>
        </w:tc>
        <w:tc>
          <w:tcPr>
            <w:tcW w:type="dxa" w:w="1080"/>
            <w:shd w:val="clear" w:color="auto" w:fill="3B4259"/>
          </w:tcPr>
          <w:p>
            <w:r>
              <w:rPr>
                <w:rFonts w:ascii="Calibri" w:hAnsi="Calibri"/>
                <w:b/>
                <w:color w:val="FFFFFF"/>
                <w:sz w:val="22"/>
              </w:rPr>
              <w:t>EPS Reported</w:t>
            </w:r>
          </w:p>
        </w:tc>
        <w:tc>
          <w:tcPr>
            <w:tcW w:type="dxa" w:w="1080"/>
            <w:shd w:val="clear" w:color="auto" w:fill="3B4259"/>
          </w:tcPr>
          <w:p>
            <w:r>
              <w:rPr>
                <w:rFonts w:ascii="Calibri" w:hAnsi="Calibri"/>
                <w:b/>
                <w:color w:val="FFFFFF"/>
                <w:sz w:val="22"/>
              </w:rPr>
              <w:t>EPS Consensus</w:t>
            </w:r>
          </w:p>
        </w:tc>
        <w:tc>
          <w:tcPr>
            <w:tcW w:type="dxa" w:w="1080"/>
            <w:shd w:val="clear" w:color="auto" w:fill="3B4259"/>
          </w:tcPr>
          <w:p>
            <w:r>
              <w:rPr>
                <w:rFonts w:ascii="Calibri" w:hAnsi="Calibri"/>
                <w:b/>
                <w:color w:val="FFFFFF"/>
                <w:sz w:val="22"/>
              </w:rPr>
              <w:t>EPS Surprise</w:t>
            </w:r>
          </w:p>
        </w:tc>
        <w:tc>
          <w:tcPr>
            <w:tcW w:type="dxa" w:w="1080"/>
            <w:shd w:val="clear" w:color="auto" w:fill="3B4259"/>
          </w:tcPr>
          <w:p>
            <w:r>
              <w:rPr>
                <w:rFonts w:ascii="Calibri" w:hAnsi="Calibri"/>
                <w:b/>
                <w:color w:val="FFFFFF"/>
                <w:sz w:val="22"/>
              </w:rPr>
              <w:t>Result</w:t>
            </w:r>
          </w:p>
        </w:tc>
      </w:tr>
      <w:tr>
        <w:tc>
          <w:tcPr>
            <w:tcW w:type="dxa" w:w="1080"/>
          </w:tcPr>
          <w:p>
            <w:r>
              <w:rPr>
                <w:rFonts w:ascii="Calibri" w:hAnsi="Calibri"/>
                <w:sz w:val="22"/>
              </w:rPr>
              <w:t>Q1 2026</w:t>
            </w:r>
          </w:p>
        </w:tc>
        <w:tc>
          <w:tcPr>
            <w:tcW w:type="dxa" w:w="1080"/>
          </w:tcPr>
          <w:p>
            <w:r>
              <w:rPr>
                <w:rFonts w:ascii="Calibri" w:hAnsi="Calibri"/>
                <w:sz w:val="22"/>
              </w:rPr>
              <w:t>$2,477.8M</w:t>
            </w:r>
          </w:p>
        </w:tc>
        <w:tc>
          <w:tcPr>
            <w:tcW w:type="dxa" w:w="1080"/>
          </w:tcPr>
          <w:p>
            <w:r>
              <w:rPr>
                <w:rFonts w:ascii="Calibri" w:hAnsi="Calibri"/>
                <w:sz w:val="22"/>
              </w:rPr>
              <w:t>$2,247.7M</w:t>
            </w:r>
          </w:p>
        </w:tc>
        <w:tc>
          <w:tcPr>
            <w:tcW w:type="dxa" w:w="1080"/>
          </w:tcPr>
          <w:p>
            <w:r>
              <w:rPr>
                <w:rFonts w:ascii="Calibri" w:hAnsi="Calibri"/>
                <w:b/>
                <w:color w:val="30A46C"/>
                <w:sz w:val="22"/>
              </w:rPr>
              <w:t>+10.2%</w:t>
            </w:r>
          </w:p>
        </w:tc>
        <w:tc>
          <w:tcPr>
            <w:tcW w:type="dxa" w:w="1080"/>
          </w:tcPr>
          <w:p>
            <w:r>
              <w:rPr>
                <w:rFonts w:ascii="Calibri" w:hAnsi="Calibri"/>
                <w:sz w:val="22"/>
              </w:rPr>
              <w:t>$3.57</w:t>
            </w:r>
          </w:p>
        </w:tc>
        <w:tc>
          <w:tcPr>
            <w:tcW w:type="dxa" w:w="1080"/>
          </w:tcPr>
          <w:p>
            <w:r>
              <w:rPr>
                <w:rFonts w:ascii="Calibri" w:hAnsi="Calibri"/>
                <w:sz w:val="22"/>
              </w:rPr>
              <w:t>$2.89</w:t>
            </w:r>
          </w:p>
        </w:tc>
        <w:tc>
          <w:tcPr>
            <w:tcW w:type="dxa" w:w="1080"/>
          </w:tcPr>
          <w:p>
            <w:r>
              <w:rPr>
                <w:rFonts w:ascii="Calibri" w:hAnsi="Calibri"/>
                <w:b/>
                <w:color w:val="30A46C"/>
                <w:sz w:val="22"/>
              </w:rPr>
              <w:t>+23.5%</w:t>
            </w:r>
          </w:p>
        </w:tc>
        <w:tc>
          <w:tcPr>
            <w:tcW w:type="dxa" w:w="1080"/>
          </w:tcPr>
          <w:p>
            <w:r>
              <w:rPr>
                <w:rFonts w:ascii="Calibri" w:hAnsi="Calibri"/>
                <w:sz w:val="22"/>
              </w:rPr>
              <w:t>Strong Beat</w:t>
            </w:r>
          </w:p>
        </w:tc>
      </w:tr>
      <w:tr>
        <w:tc>
          <w:tcPr>
            <w:tcW w:type="dxa" w:w="1080"/>
          </w:tcPr>
          <w:p>
            <w:r>
              <w:rPr>
                <w:rFonts w:ascii="Calibri" w:hAnsi="Calibri"/>
                <w:sz w:val="22"/>
              </w:rPr>
              <w:t>Q4 2025</w:t>
            </w:r>
          </w:p>
        </w:tc>
        <w:tc>
          <w:tcPr>
            <w:tcW w:type="dxa" w:w="1080"/>
          </w:tcPr>
          <w:p>
            <w:r>
              <w:rPr>
                <w:rFonts w:ascii="Calibri" w:hAnsi="Calibri"/>
                <w:sz w:val="22"/>
              </w:rPr>
              <w:t>$2,279.4M</w:t>
            </w:r>
          </w:p>
        </w:tc>
        <w:tc>
          <w:tcPr>
            <w:tcW w:type="dxa" w:w="1080"/>
          </w:tcPr>
          <w:p>
            <w:r>
              <w:rPr>
                <w:rFonts w:ascii="Calibri" w:hAnsi="Calibri"/>
                <w:sz w:val="22"/>
              </w:rPr>
              <w:t>$2,213.2M</w:t>
            </w:r>
          </w:p>
        </w:tc>
        <w:tc>
          <w:tcPr>
            <w:tcW w:type="dxa" w:w="1080"/>
          </w:tcPr>
          <w:p>
            <w:r>
              <w:rPr>
                <w:rFonts w:ascii="Calibri" w:hAnsi="Calibri"/>
                <w:b/>
                <w:color w:val="30A46C"/>
                <w:sz w:val="22"/>
              </w:rPr>
              <w:t>+3.0%</w:t>
            </w:r>
          </w:p>
        </w:tc>
        <w:tc>
          <w:tcPr>
            <w:tcW w:type="dxa" w:w="1080"/>
          </w:tcPr>
          <w:p>
            <w:r>
              <w:rPr>
                <w:rFonts w:ascii="Calibri" w:hAnsi="Calibri"/>
                <w:sz w:val="22"/>
              </w:rPr>
              <w:t>$1.99</w:t>
            </w:r>
          </w:p>
        </w:tc>
        <w:tc>
          <w:tcPr>
            <w:tcW w:type="dxa" w:w="1080"/>
          </w:tcPr>
          <w:p>
            <w:r>
              <w:rPr>
                <w:rFonts w:ascii="Calibri" w:hAnsi="Calibri"/>
                <w:sz w:val="22"/>
              </w:rPr>
              <w:t>$1.71</w:t>
            </w:r>
          </w:p>
        </w:tc>
        <w:tc>
          <w:tcPr>
            <w:tcW w:type="dxa" w:w="1080"/>
          </w:tcPr>
          <w:p>
            <w:r>
              <w:rPr>
                <w:rFonts w:ascii="Calibri" w:hAnsi="Calibri"/>
                <w:b/>
                <w:color w:val="30A46C"/>
                <w:sz w:val="22"/>
              </w:rPr>
              <w:t>+16.4%</w:t>
            </w:r>
          </w:p>
        </w:tc>
        <w:tc>
          <w:tcPr>
            <w:tcW w:type="dxa" w:w="1080"/>
          </w:tcPr>
          <w:p>
            <w:r>
              <w:rPr>
                <w:rFonts w:ascii="Calibri" w:hAnsi="Calibri"/>
                <w:sz w:val="22"/>
              </w:rPr>
              <w:t>Beat</w:t>
            </w:r>
          </w:p>
        </w:tc>
      </w:tr>
      <w:tr>
        <w:tc>
          <w:tcPr>
            <w:tcW w:type="dxa" w:w="1080"/>
          </w:tcPr>
          <w:p>
            <w:r>
              <w:rPr>
                <w:rFonts w:ascii="Calibri" w:hAnsi="Calibri"/>
                <w:sz w:val="22"/>
              </w:rPr>
              <w:t>Q3 2025</w:t>
            </w:r>
          </w:p>
        </w:tc>
        <w:tc>
          <w:tcPr>
            <w:tcW w:type="dxa" w:w="1080"/>
          </w:tcPr>
          <w:p>
            <w:r>
              <w:rPr>
                <w:rFonts w:ascii="Calibri" w:hAnsi="Calibri"/>
                <w:sz w:val="22"/>
              </w:rPr>
              <w:t>$2,534.7M</w:t>
            </w:r>
          </w:p>
        </w:tc>
        <w:tc>
          <w:tcPr>
            <w:tcW w:type="dxa" w:w="1080"/>
          </w:tcPr>
          <w:p>
            <w:r>
              <w:rPr>
                <w:rFonts w:ascii="Calibri" w:hAnsi="Calibri"/>
                <w:sz w:val="22"/>
              </w:rPr>
              <w:t>$2,343.3M</w:t>
            </w:r>
          </w:p>
        </w:tc>
        <w:tc>
          <w:tcPr>
            <w:tcW w:type="dxa" w:w="1080"/>
          </w:tcPr>
          <w:p>
            <w:r>
              <w:rPr>
                <w:rFonts w:ascii="Calibri" w:hAnsi="Calibri"/>
                <w:b/>
                <w:color w:val="30A46C"/>
                <w:sz w:val="22"/>
              </w:rPr>
              <w:t>+8.2%</w:t>
            </w:r>
          </w:p>
        </w:tc>
        <w:tc>
          <w:tcPr>
            <w:tcW w:type="dxa" w:w="1080"/>
          </w:tcPr>
          <w:p>
            <w:r>
              <w:rPr>
                <w:rFonts w:ascii="Calibri" w:hAnsi="Calibri"/>
                <w:sz w:val="22"/>
              </w:rPr>
              <w:t>$4.81</w:t>
            </w:r>
          </w:p>
        </w:tc>
        <w:tc>
          <w:tcPr>
            <w:tcW w:type="dxa" w:w="1080"/>
          </w:tcPr>
          <w:p>
            <w:r>
              <w:rPr>
                <w:rFonts w:ascii="Calibri" w:hAnsi="Calibri"/>
                <w:sz w:val="22"/>
              </w:rPr>
              <w:t>$3.91</w:t>
            </w:r>
          </w:p>
        </w:tc>
        <w:tc>
          <w:tcPr>
            <w:tcW w:type="dxa" w:w="1080"/>
          </w:tcPr>
          <w:p>
            <w:r>
              <w:rPr>
                <w:rFonts w:ascii="Calibri" w:hAnsi="Calibri"/>
                <w:b/>
                <w:color w:val="30A46C"/>
                <w:sz w:val="22"/>
              </w:rPr>
              <w:t>+23.0%</w:t>
            </w:r>
          </w:p>
        </w:tc>
        <w:tc>
          <w:tcPr>
            <w:tcW w:type="dxa" w:w="1080"/>
          </w:tcPr>
          <w:p>
            <w:r>
              <w:rPr>
                <w:rFonts w:ascii="Calibri" w:hAnsi="Calibri"/>
                <w:sz w:val="22"/>
              </w:rPr>
              <w:t>Strong Beat</w:t>
            </w:r>
          </w:p>
        </w:tc>
      </w:tr>
      <w:tr>
        <w:tc>
          <w:tcPr>
            <w:tcW w:type="dxa" w:w="1080"/>
          </w:tcPr>
          <w:p>
            <w:r>
              <w:rPr>
                <w:rFonts w:ascii="Calibri" w:hAnsi="Calibri"/>
                <w:sz w:val="22"/>
              </w:rPr>
              <w:t>Q2 2025</w:t>
            </w:r>
          </w:p>
        </w:tc>
        <w:tc>
          <w:tcPr>
            <w:tcW w:type="dxa" w:w="1080"/>
          </w:tcPr>
          <w:p>
            <w:r>
              <w:rPr>
                <w:rFonts w:ascii="Calibri" w:hAnsi="Calibri"/>
                <w:sz w:val="22"/>
              </w:rPr>
              <w:t>$2,645.5M</w:t>
            </w:r>
          </w:p>
        </w:tc>
        <w:tc>
          <w:tcPr>
            <w:tcW w:type="dxa" w:w="1080"/>
          </w:tcPr>
          <w:p>
            <w:r>
              <w:rPr>
                <w:rFonts w:ascii="Calibri" w:hAnsi="Calibri"/>
                <w:sz w:val="22"/>
              </w:rPr>
              <w:t>$2,323.1M</w:t>
            </w:r>
          </w:p>
        </w:tc>
        <w:tc>
          <w:tcPr>
            <w:tcW w:type="dxa" w:w="1080"/>
          </w:tcPr>
          <w:p>
            <w:r>
              <w:rPr>
                <w:rFonts w:ascii="Calibri" w:hAnsi="Calibri"/>
                <w:b/>
                <w:color w:val="30A46C"/>
                <w:sz w:val="22"/>
              </w:rPr>
              <w:t>+13.9%</w:t>
            </w:r>
          </w:p>
        </w:tc>
        <w:tc>
          <w:tcPr>
            <w:tcW w:type="dxa" w:w="1080"/>
          </w:tcPr>
          <w:p>
            <w:r>
              <w:rPr>
                <w:rFonts w:ascii="Calibri" w:hAnsi="Calibri"/>
                <w:sz w:val="22"/>
              </w:rPr>
              <w:t>$5.47</w:t>
            </w:r>
          </w:p>
        </w:tc>
        <w:tc>
          <w:tcPr>
            <w:tcW w:type="dxa" w:w="1080"/>
          </w:tcPr>
          <w:p>
            <w:r>
              <w:rPr>
                <w:rFonts w:ascii="Calibri" w:hAnsi="Calibri"/>
                <w:sz w:val="22"/>
              </w:rPr>
              <w:t>$3.92</w:t>
            </w:r>
          </w:p>
        </w:tc>
        <w:tc>
          <w:tcPr>
            <w:tcW w:type="dxa" w:w="1080"/>
          </w:tcPr>
          <w:p>
            <w:r>
              <w:rPr>
                <w:rFonts w:ascii="Calibri" w:hAnsi="Calibri"/>
                <w:b/>
                <w:color w:val="30A46C"/>
                <w:sz w:val="22"/>
              </w:rPr>
              <w:t>+39.5%</w:t>
            </w:r>
          </w:p>
        </w:tc>
        <w:tc>
          <w:tcPr>
            <w:tcW w:type="dxa" w:w="1080"/>
          </w:tcPr>
          <w:p>
            <w:r>
              <w:rPr>
                <w:rFonts w:ascii="Calibri" w:hAnsi="Calibri"/>
                <w:sz w:val="22"/>
              </w:rPr>
              <w:t>Strong Beat</w:t>
            </w:r>
          </w:p>
        </w:tc>
      </w:tr>
      <w:tr>
        <w:tc>
          <w:tcPr>
            <w:tcW w:type="dxa" w:w="1080"/>
          </w:tcPr>
          <w:p>
            <w:r>
              <w:rPr>
                <w:rFonts w:ascii="Calibri" w:hAnsi="Calibri"/>
                <w:sz w:val="22"/>
              </w:rPr>
              <w:t>Q1 2025</w:t>
            </w:r>
          </w:p>
        </w:tc>
        <w:tc>
          <w:tcPr>
            <w:tcW w:type="dxa" w:w="1080"/>
          </w:tcPr>
          <w:p>
            <w:r>
              <w:rPr>
                <w:rFonts w:ascii="Calibri" w:hAnsi="Calibri"/>
                <w:sz w:val="22"/>
              </w:rPr>
              <w:t>$2,431.0M</w:t>
            </w:r>
          </w:p>
        </w:tc>
        <w:tc>
          <w:tcPr>
            <w:tcW w:type="dxa" w:w="1080"/>
          </w:tcPr>
          <w:p>
            <w:r>
              <w:rPr>
                <w:rFonts w:ascii="Calibri" w:hAnsi="Calibri"/>
                <w:sz w:val="22"/>
              </w:rPr>
              <w:t>$2,238.4M</w:t>
            </w:r>
          </w:p>
        </w:tc>
        <w:tc>
          <w:tcPr>
            <w:tcW w:type="dxa" w:w="1080"/>
          </w:tcPr>
          <w:p>
            <w:r>
              <w:rPr>
                <w:rFonts w:ascii="Calibri" w:hAnsi="Calibri"/>
                <w:b/>
                <w:color w:val="30A46C"/>
                <w:sz w:val="22"/>
              </w:rPr>
              <w:t>+8.6%</w:t>
            </w:r>
          </w:p>
        </w:tc>
        <w:tc>
          <w:tcPr>
            <w:tcW w:type="dxa" w:w="1080"/>
          </w:tcPr>
          <w:p>
            <w:r>
              <w:rPr>
                <w:rFonts w:ascii="Calibri" w:hAnsi="Calibri"/>
                <w:sz w:val="22"/>
              </w:rPr>
              <w:t>$3.02</w:t>
            </w:r>
          </w:p>
        </w:tc>
        <w:tc>
          <w:tcPr>
            <w:tcW w:type="dxa" w:w="1080"/>
          </w:tcPr>
          <w:p>
            <w:r>
              <w:rPr>
                <w:rFonts w:ascii="Calibri" w:hAnsi="Calibri"/>
                <w:sz w:val="22"/>
              </w:rPr>
              <w:t>$3.04</w:t>
            </w:r>
          </w:p>
        </w:tc>
        <w:tc>
          <w:tcPr>
            <w:tcW w:type="dxa" w:w="1080"/>
          </w:tcPr>
          <w:p>
            <w:r>
              <w:rPr>
                <w:rFonts w:ascii="Calibri" w:hAnsi="Calibri"/>
                <w:sz w:val="22"/>
              </w:rPr>
              <w:t>-0.7%</w:t>
            </w:r>
          </w:p>
        </w:tc>
        <w:tc>
          <w:tcPr>
            <w:tcW w:type="dxa" w:w="1080"/>
          </w:tcPr>
          <w:p>
            <w:r>
              <w:rPr>
                <w:rFonts w:ascii="Calibri" w:hAnsi="Calibri"/>
                <w:sz w:val="22"/>
              </w:rPr>
              <w:t>Mixed</w:t>
            </w:r>
          </w:p>
        </w:tc>
      </w:tr>
      <w:tr>
        <w:tc>
          <w:tcPr>
            <w:tcW w:type="dxa" w:w="1080"/>
          </w:tcPr>
          <w:p>
            <w:r>
              <w:rPr>
                <w:rFonts w:ascii="Calibri" w:hAnsi="Calibri"/>
                <w:sz w:val="22"/>
              </w:rPr>
              <w:t>Q4 2024</w:t>
            </w:r>
          </w:p>
        </w:tc>
        <w:tc>
          <w:tcPr>
            <w:tcW w:type="dxa" w:w="1080"/>
          </w:tcPr>
          <w:p>
            <w:r>
              <w:rPr>
                <w:rFonts w:ascii="Calibri" w:hAnsi="Calibri"/>
                <w:sz w:val="22"/>
              </w:rPr>
              <w:t>$2,454.7M</w:t>
            </w:r>
          </w:p>
        </w:tc>
        <w:tc>
          <w:tcPr>
            <w:tcW w:type="dxa" w:w="1080"/>
          </w:tcPr>
          <w:p>
            <w:r>
              <w:rPr>
                <w:rFonts w:ascii="Calibri" w:hAnsi="Calibri"/>
                <w:sz w:val="22"/>
              </w:rPr>
              <w:t>$2,412.0M</w:t>
            </w:r>
          </w:p>
        </w:tc>
        <w:tc>
          <w:tcPr>
            <w:tcW w:type="dxa" w:w="1080"/>
          </w:tcPr>
          <w:p>
            <w:r>
              <w:rPr>
                <w:rFonts w:ascii="Calibri" w:hAnsi="Calibri"/>
                <w:b/>
                <w:color w:val="30A46C"/>
                <w:sz w:val="22"/>
              </w:rPr>
              <w:t>+1.8%</w:t>
            </w:r>
          </w:p>
        </w:tc>
        <w:tc>
          <w:tcPr>
            <w:tcW w:type="dxa" w:w="1080"/>
          </w:tcPr>
          <w:p>
            <w:r>
              <w:rPr>
                <w:rFonts w:ascii="Calibri" w:hAnsi="Calibri"/>
                <w:sz w:val="22"/>
              </w:rPr>
              <w:t>$3.44</w:t>
            </w:r>
          </w:p>
        </w:tc>
        <w:tc>
          <w:tcPr>
            <w:tcW w:type="dxa" w:w="1080"/>
          </w:tcPr>
          <w:p>
            <w:r>
              <w:rPr>
                <w:rFonts w:ascii="Calibri" w:hAnsi="Calibri"/>
                <w:sz w:val="22"/>
              </w:rPr>
              <w:t>$3.39</w:t>
            </w:r>
          </w:p>
        </w:tc>
        <w:tc>
          <w:tcPr>
            <w:tcW w:type="dxa" w:w="1080"/>
          </w:tcPr>
          <w:p>
            <w:r>
              <w:rPr>
                <w:rFonts w:ascii="Calibri" w:hAnsi="Calibri"/>
                <w:b/>
                <w:color w:val="30A46C"/>
                <w:sz w:val="22"/>
              </w:rPr>
              <w:t>+1.5%</w:t>
            </w:r>
          </w:p>
        </w:tc>
        <w:tc>
          <w:tcPr>
            <w:tcW w:type="dxa" w:w="1080"/>
          </w:tcPr>
          <w:p>
            <w:r>
              <w:rPr>
                <w:rFonts w:ascii="Calibri" w:hAnsi="Calibri"/>
                <w:sz w:val="22"/>
              </w:rPr>
              <w:t>In Line</w:t>
            </w:r>
          </w:p>
        </w:tc>
      </w:tr>
      <w:tr>
        <w:tc>
          <w:tcPr>
            <w:tcW w:type="dxa" w:w="1080"/>
          </w:tcPr>
          <w:p>
            <w:r>
              <w:rPr>
                <w:rFonts w:ascii="Calibri" w:hAnsi="Calibri"/>
                <w:sz w:val="22"/>
              </w:rPr>
              <w:t>Q3 2024</w:t>
            </w:r>
          </w:p>
        </w:tc>
        <w:tc>
          <w:tcPr>
            <w:tcW w:type="dxa" w:w="1080"/>
          </w:tcPr>
          <w:p>
            <w:r>
              <w:rPr>
                <w:rFonts w:ascii="Calibri" w:hAnsi="Calibri"/>
                <w:sz w:val="22"/>
              </w:rPr>
              <w:t>$2,465.8M</w:t>
            </w:r>
          </w:p>
        </w:tc>
        <w:tc>
          <w:tcPr>
            <w:tcW w:type="dxa" w:w="1080"/>
          </w:tcPr>
          <w:p>
            <w:r>
              <w:rPr>
                <w:rFonts w:ascii="Calibri" w:hAnsi="Calibri"/>
                <w:sz w:val="22"/>
              </w:rPr>
              <w:t>$2,436.3M</w:t>
            </w:r>
          </w:p>
        </w:tc>
        <w:tc>
          <w:tcPr>
            <w:tcW w:type="dxa" w:w="1080"/>
          </w:tcPr>
          <w:p>
            <w:r>
              <w:rPr>
                <w:rFonts w:ascii="Calibri" w:hAnsi="Calibri"/>
                <w:b/>
                <w:color w:val="30A46C"/>
                <w:sz w:val="22"/>
              </w:rPr>
              <w:t>+1.2%</w:t>
            </w:r>
          </w:p>
        </w:tc>
        <w:tc>
          <w:tcPr>
            <w:tcW w:type="dxa" w:w="1080"/>
          </w:tcPr>
          <w:p>
            <w:r>
              <w:rPr>
                <w:rFonts w:ascii="Calibri" w:hAnsi="Calibri"/>
                <w:sz w:val="22"/>
              </w:rPr>
              <w:t>$4.08</w:t>
            </w:r>
          </w:p>
        </w:tc>
        <w:tc>
          <w:tcPr>
            <w:tcW w:type="dxa" w:w="1080"/>
          </w:tcPr>
          <w:p>
            <w:r>
              <w:rPr>
                <w:rFonts w:ascii="Calibri" w:hAnsi="Calibri"/>
                <w:sz w:val="22"/>
              </w:rPr>
              <w:t>$3.79</w:t>
            </w:r>
          </w:p>
        </w:tc>
        <w:tc>
          <w:tcPr>
            <w:tcW w:type="dxa" w:w="1080"/>
          </w:tcPr>
          <w:p>
            <w:r>
              <w:rPr>
                <w:rFonts w:ascii="Calibri" w:hAnsi="Calibri"/>
                <w:b/>
                <w:color w:val="30A46C"/>
                <w:sz w:val="22"/>
              </w:rPr>
              <w:t>+7.7%</w:t>
            </w:r>
          </w:p>
        </w:tc>
        <w:tc>
          <w:tcPr>
            <w:tcW w:type="dxa" w:w="1080"/>
          </w:tcPr>
          <w:p>
            <w:r>
              <w:rPr>
                <w:rFonts w:ascii="Calibri" w:hAnsi="Calibri"/>
                <w:sz w:val="22"/>
              </w:rPr>
              <w:t>Beat</w:t>
            </w:r>
          </w:p>
        </w:tc>
      </w:tr>
      <w:tr>
        <w:tc>
          <w:tcPr>
            <w:tcW w:type="dxa" w:w="1080"/>
          </w:tcPr>
          <w:p>
            <w:r>
              <w:rPr>
                <w:rFonts w:ascii="Calibri" w:hAnsi="Calibri"/>
                <w:sz w:val="22"/>
              </w:rPr>
              <w:t>Q2 2024</w:t>
            </w:r>
          </w:p>
        </w:tc>
        <w:tc>
          <w:tcPr>
            <w:tcW w:type="dxa" w:w="1080"/>
          </w:tcPr>
          <w:p>
            <w:r>
              <w:rPr>
                <w:rFonts w:ascii="Calibri" w:hAnsi="Calibri"/>
                <w:sz w:val="22"/>
              </w:rPr>
              <w:t>$2,464.9M</w:t>
            </w:r>
          </w:p>
        </w:tc>
        <w:tc>
          <w:tcPr>
            <w:tcW w:type="dxa" w:w="1080"/>
          </w:tcPr>
          <w:p>
            <w:r>
              <w:rPr>
                <w:rFonts w:ascii="Calibri" w:hAnsi="Calibri"/>
                <w:sz w:val="22"/>
              </w:rPr>
              <w:t>$2,378.8M</w:t>
            </w:r>
          </w:p>
        </w:tc>
        <w:tc>
          <w:tcPr>
            <w:tcW w:type="dxa" w:w="1080"/>
          </w:tcPr>
          <w:p>
            <w:r>
              <w:rPr>
                <w:rFonts w:ascii="Calibri" w:hAnsi="Calibri"/>
                <w:b/>
                <w:color w:val="30A46C"/>
                <w:sz w:val="22"/>
              </w:rPr>
              <w:t>+3.6%</w:t>
            </w:r>
          </w:p>
        </w:tc>
        <w:tc>
          <w:tcPr>
            <w:tcW w:type="dxa" w:w="1080"/>
          </w:tcPr>
          <w:p>
            <w:r>
              <w:rPr>
                <w:rFonts w:ascii="Calibri" w:hAnsi="Calibri"/>
                <w:sz w:val="22"/>
              </w:rPr>
              <w:t>$5.28</w:t>
            </w:r>
          </w:p>
        </w:tc>
        <w:tc>
          <w:tcPr>
            <w:tcW w:type="dxa" w:w="1080"/>
          </w:tcPr>
          <w:p>
            <w:r>
              <w:rPr>
                <w:rFonts w:ascii="Calibri" w:hAnsi="Calibri"/>
                <w:sz w:val="22"/>
              </w:rPr>
              <w:t>$4.04</w:t>
            </w:r>
          </w:p>
        </w:tc>
        <w:tc>
          <w:tcPr>
            <w:tcW w:type="dxa" w:w="1080"/>
          </w:tcPr>
          <w:p>
            <w:r>
              <w:rPr>
                <w:rFonts w:ascii="Calibri" w:hAnsi="Calibri"/>
                <w:b/>
                <w:color w:val="30A46C"/>
                <w:sz w:val="22"/>
              </w:rPr>
              <w:t>+30.7%</w:t>
            </w:r>
          </w:p>
        </w:tc>
        <w:tc>
          <w:tcPr>
            <w:tcW w:type="dxa" w:w="1080"/>
          </w:tcPr>
          <w:p>
            <w:r>
              <w:rPr>
                <w:rFonts w:ascii="Calibri" w:hAnsi="Calibri"/>
                <w:sz w:val="22"/>
              </w:rPr>
              <w:t>Strong Beat</w:t>
            </w:r>
          </w:p>
        </w:tc>
      </w:tr>
    </w:tbl>
    <w:p>
      <w:r>
        <w:rPr>
          <w:rFonts w:ascii="Calibri" w:hAnsi="Calibri"/>
          <w:b/>
          <w:color w:val="525866"/>
          <w:sz w:val="22"/>
        </w:rPr>
        <w:t xml:space="preserve">Pattern: </w:t>
      </w:r>
      <w:r>
        <w:rPr>
          <w:rFonts w:ascii="Calibri" w:hAnsi="Calibri"/>
          <w:color w:val="525866"/>
          <w:sz w:val="22"/>
        </w:rPr>
        <w:t>BIIB has beaten revenue consensus in all 8 of the last 8 quarters, with an average revenue surprise of +6.3%. EPS beats have been consistent and often large, driven by cost discipline and favorable IPR&amp;D timing. The Q2 2026 EPS bar of $1.97 is artificially depressed by the disclosed IPR&amp;D charge — the operative underlying EPS bar is ~$2.87.</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Revenue guidance is unchanged from February; the only change to EPS guidance is the addition of known IPR&amp;D charges. </w:t>
      </w:r>
      <w:r>
        <w:rPr>
          <w:rFonts w:ascii="Calibri" w:hAnsi="Calibri"/>
          <w:b/>
          <w:color w:val="525866"/>
          <w:sz w:val="22"/>
        </w:rPr>
        <w:t>The most important guidance event will be the first full consolidated 2026 outlook including Apellis, promised with Q2 results.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Apr 29)</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Revenue</w:t>
            </w:r>
          </w:p>
        </w:tc>
        <w:tc>
          <w:tcPr>
            <w:tcW w:type="dxa" w:w="1728"/>
          </w:tcPr>
          <w:p>
            <w:r>
              <w:rPr>
                <w:rFonts w:ascii="Calibri" w:hAnsi="Calibri"/>
                <w:sz w:val="22"/>
              </w:rPr>
              <w:t>Mid-single digit % decline vs. 2025 (Apellis not included)</w:t>
            </w:r>
          </w:p>
        </w:tc>
        <w:tc>
          <w:tcPr>
            <w:tcW w:type="dxa" w:w="1728"/>
          </w:tcPr>
          <w:p>
            <w:r>
              <w:rPr>
                <w:rFonts w:ascii="Calibri" w:hAnsi="Calibri"/>
                <w:sz w:val="22"/>
              </w:rPr>
              <w:t>Unchanged (ex-Apellis); full consolidated guidance to be provided with Q2 results</w:t>
            </w:r>
          </w:p>
        </w:tc>
        <w:tc>
          <w:tcPr>
            <w:tcW w:type="dxa" w:w="1728"/>
          </w:tcPr>
          <w:p>
            <w:r>
              <w:rPr>
                <w:rFonts w:ascii="Calibri" w:hAnsi="Calibri"/>
                <w:sz w:val="22"/>
              </w:rPr>
              <w:t>~$10.03B</w:t>
            </w:r>
          </w:p>
        </w:tc>
        <w:tc>
          <w:tcPr>
            <w:tcW w:type="dxa" w:w="1728"/>
          </w:tcPr>
          <w:p>
            <w:r>
              <w:rPr>
                <w:rFonts w:ascii="Calibri" w:hAnsi="Calibri"/>
                <w:sz w:val="22"/>
              </w:rPr>
              <w:t>Full consolidated guidance (incl. Apellis) is the key deliverable of the Q2 print</w:t>
            </w:r>
          </w:p>
        </w:tc>
      </w:tr>
      <w:tr>
        <w:tc>
          <w:tcPr>
            <w:tcW w:type="dxa" w:w="1728"/>
          </w:tcPr>
          <w:p>
            <w:r>
              <w:rPr>
                <w:rFonts w:ascii="Calibri" w:hAnsi="Calibri"/>
                <w:sz w:val="22"/>
              </w:rPr>
              <w:t>FY 2026 Non-GAAP EPS</w:t>
            </w:r>
          </w:p>
        </w:tc>
        <w:tc>
          <w:tcPr>
            <w:tcW w:type="dxa" w:w="1728"/>
          </w:tcPr>
          <w:p>
            <w:r>
              <w:rPr>
                <w:rFonts w:ascii="Calibri" w:hAnsi="Calibri"/>
                <w:sz w:val="22"/>
              </w:rPr>
              <w:t>Not explicitly guided; $0.80 Q2 IPR&amp;D charge flagged; IPR&amp;D charges excluded from underlying guidance</w:t>
            </w:r>
          </w:p>
        </w:tc>
        <w:tc>
          <w:tcPr>
            <w:tcW w:type="dxa" w:w="1728"/>
          </w:tcPr>
          <w:p>
            <w:r>
              <w:rPr>
                <w:rFonts w:ascii="Calibri" w:hAnsi="Calibri"/>
                <w:sz w:val="22"/>
              </w:rPr>
              <w:t>~$0.95 Q2 IPR&amp;D charge (Jul 1 8-K, above $0.80 guided); ~$1.75–$1.95 Q3 IPR&amp;D charge flagged</w:t>
            </w:r>
          </w:p>
        </w:tc>
        <w:tc>
          <w:tcPr>
            <w:tcW w:type="dxa" w:w="1728"/>
          </w:tcPr>
          <w:p>
            <w:r>
              <w:rPr>
                <w:rFonts w:ascii="Calibri" w:hAnsi="Calibri"/>
                <w:sz w:val="22"/>
              </w:rPr>
              <w:t>~$12.60 (FY)</w:t>
            </w:r>
          </w:p>
        </w:tc>
        <w:tc>
          <w:tcPr>
            <w:tcW w:type="dxa" w:w="1728"/>
          </w:tcPr>
          <w:p>
            <w:r>
              <w:rPr>
                <w:rFonts w:ascii="Calibri" w:hAnsi="Calibri"/>
                <w:sz w:val="22"/>
              </w:rPr>
              <w:t>↑ Q2 charge slightly above Q1 guidance; Q3 charges relate to potential milestones/transactions not yet closed (Jul 1 8-K)</w:t>
            </w:r>
          </w:p>
        </w:tc>
      </w:tr>
      <w:tr>
        <w:tc>
          <w:tcPr>
            <w:tcW w:type="dxa" w:w="1728"/>
          </w:tcPr>
          <w:p>
            <w:r>
              <w:rPr>
                <w:rFonts w:ascii="Calibri" w:hAnsi="Calibri"/>
                <w:sz w:val="22"/>
              </w:rPr>
              <w:t>Q2 2026 Core OpEx (R&amp;D + SG&amp;A)</w:t>
            </w:r>
          </w:p>
        </w:tc>
        <w:tc>
          <w:tcPr>
            <w:tcW w:type="dxa" w:w="1728"/>
          </w:tcPr>
          <w:p>
            <w:r>
              <w:rPr>
                <w:rFonts w:ascii="Calibri" w:hAnsi="Calibri"/>
                <w:sz w:val="22"/>
              </w:rPr>
              <w:t>Roughly consistent with Q1 (~$1.08B combined)</w:t>
            </w:r>
          </w:p>
        </w:tc>
        <w:tc>
          <w:tcPr>
            <w:tcW w:type="dxa" w:w="1728"/>
          </w:tcPr>
          <w:p>
            <w:r>
              <w:rPr>
                <w:rFonts w:ascii="Calibri" w:hAnsi="Calibri"/>
                <w:sz w:val="22"/>
              </w:rPr>
              <w:t>Unchanged</w:t>
            </w:r>
          </w:p>
        </w:tc>
        <w:tc>
          <w:tcPr>
            <w:tcW w:type="dxa" w:w="1728"/>
          </w:tcPr>
          <w:p>
            <w:r>
              <w:rPr>
                <w:rFonts w:ascii="Calibri" w:hAnsi="Calibri"/>
                <w:sz w:val="22"/>
              </w:rPr>
              <w:t>~$1.14B</w:t>
            </w:r>
          </w:p>
        </w:tc>
        <w:tc>
          <w:tcPr>
            <w:tcW w:type="dxa" w:w="1728"/>
          </w:tcPr>
          <w:p>
            <w:r>
              <w:rPr>
                <w:rFonts w:ascii="Calibri" w:hAnsi="Calibri"/>
                <w:sz w:val="22"/>
              </w:rPr>
              <w:t>Slight upward drift in consensus vs. guidance; Apellis commercial costs now included</w:t>
            </w:r>
          </w:p>
        </w:tc>
      </w:tr>
      <w:tr>
        <w:tc>
          <w:tcPr>
            <w:tcW w:type="dxa" w:w="1728"/>
          </w:tcPr>
          <w:p>
            <w:r>
              <w:rPr>
                <w:rFonts w:ascii="Calibri" w:hAnsi="Calibri"/>
                <w:sz w:val="22"/>
              </w:rPr>
              <w:t>Apellis Revenue (SYFOVRE + EMPAVELI combined)</w:t>
            </w:r>
          </w:p>
        </w:tc>
        <w:tc>
          <w:tcPr>
            <w:tcW w:type="dxa" w:w="1728"/>
          </w:tcPr>
          <w:p>
            <w:r>
              <w:rPr>
                <w:rFonts w:ascii="Calibri" w:hAnsi="Calibri"/>
                <w:sz w:val="22"/>
              </w:rPr>
              <w:t>Mid-to-high teen % growth rate for at least 2 years post-close (combined)</w:t>
            </w:r>
          </w:p>
        </w:tc>
        <w:tc>
          <w:tcPr>
            <w:tcW w:type="dxa" w:w="1728"/>
          </w:tcPr>
          <w:p>
            <w:r>
              <w:rPr>
                <w:rFonts w:ascii="Calibri" w:hAnsi="Calibri"/>
                <w:sz w:val="22"/>
              </w:rPr>
              <w:t>Unchanged</w:t>
            </w:r>
          </w:p>
        </w:tc>
        <w:tc>
          <w:tcPr>
            <w:tcW w:type="dxa" w:w="1728"/>
          </w:tcPr>
          <w:p>
            <w:r>
              <w:rPr>
                <w:rFonts w:ascii="Calibri" w:hAnsi="Calibri"/>
                <w:sz w:val="22"/>
              </w:rPr>
              <w:t>~$89M combined Q2 (first full quarter)</w:t>
            </w:r>
          </w:p>
        </w:tc>
        <w:tc>
          <w:tcPr>
            <w:tcW w:type="dxa" w:w="1728"/>
          </w:tcPr>
          <w:p>
            <w:r>
              <w:rPr>
                <w:rFonts w:ascii="Calibri" w:hAnsi="Calibri"/>
                <w:sz w:val="22"/>
              </w:rPr>
              <w:t>First full quarter of consolidation; management to provide full 2026 guidance with Q2 results</w:t>
            </w:r>
          </w:p>
        </w:tc>
      </w:tr>
      <w:tr>
        <w:tc>
          <w:tcPr>
            <w:tcW w:type="dxa" w:w="1728"/>
          </w:tcPr>
          <w:p>
            <w:r>
              <w:rPr>
                <w:rFonts w:ascii="Calibri" w:hAnsi="Calibri"/>
                <w:sz w:val="22"/>
              </w:rPr>
              <w:t>LEQEMBI IQLIK Initiation</w:t>
            </w:r>
          </w:p>
        </w:tc>
        <w:tc>
          <w:tcPr>
            <w:tcW w:type="dxa" w:w="1728"/>
          </w:tcPr>
          <w:p>
            <w:r>
              <w:rPr>
                <w:rFonts w:ascii="Calibri" w:hAnsi="Calibri"/>
                <w:sz w:val="22"/>
              </w:rPr>
              <w:t>PDUFA May 24 (at Q1 call); expected to be “game changer” for 2027 growth</w:t>
            </w:r>
          </w:p>
        </w:tc>
        <w:tc>
          <w:tcPr>
            <w:tcW w:type="dxa" w:w="1728"/>
          </w:tcPr>
          <w:p>
            <w:r>
              <w:rPr>
                <w:rFonts w:ascii="Calibri" w:hAnsi="Calibri"/>
                <w:sz w:val="22"/>
              </w:rPr>
              <w:t>Approved (post-Q1); full Part D reimbursement expected Jan 2027; formulary decisions fall 2026</w:t>
            </w:r>
          </w:p>
        </w:tc>
        <w:tc>
          <w:tcPr>
            <w:tcW w:type="dxa" w:w="1728"/>
          </w:tcPr>
          <w:p>
            <w:r>
              <w:rPr>
                <w:rFonts w:ascii="Calibri" w:hAnsi="Calibri"/>
                <w:sz w:val="22"/>
              </w:rPr>
              <w:t>~$51.8M Biogen share Q2</w:t>
            </w:r>
          </w:p>
        </w:tc>
        <w:tc>
          <w:tcPr>
            <w:tcW w:type="dxa" w:w="1728"/>
          </w:tcPr>
          <w:p>
            <w:r>
              <w:rPr>
                <w:rFonts w:ascii="Calibri" w:hAnsi="Calibri"/>
                <w:sz w:val="22"/>
              </w:rPr>
              <w:t>↑ Approval received; fall 2026 formulary decisions are the next key catalyst for 2027 acceleration</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Revenue estimates have been stable-to-slightly-rising since Q1 earnings (+1.6% for both Q2 and FY), while EPS estimates collapsed mechanically on the disclosed IPR&amp;D charge. </w:t>
      </w:r>
      <w:r>
        <w:rPr>
          <w:rFonts w:ascii="Calibri" w:hAnsi="Calibri"/>
          <w:b/>
          <w:color w:val="525866"/>
          <w:sz w:val="22"/>
        </w:rPr>
        <w:t>The underlying business trajectory is intact; the EPS revision is noise, not signal.</w:t>
      </w:r>
    </w:p>
    <w:tbl>
      <w:tblPr>
        <w:tblStyle w:val="TableGrid"/>
        <w:tblW w:type="auto" w:w="0"/>
        <w:tblLook w:firstColumn="1" w:firstRow="1" w:lastColumn="0" w:lastRow="0" w:noHBand="0" w:noVBand="1" w:val="04A0"/>
      </w:tblPr>
      <w:tblGrid>
        <w:gridCol w:w="960"/>
        <w:gridCol w:w="960"/>
        <w:gridCol w:w="960"/>
        <w:gridCol w:w="960"/>
        <w:gridCol w:w="960"/>
        <w:gridCol w:w="960"/>
        <w:gridCol w:w="960"/>
        <w:gridCol w:w="960"/>
        <w:gridCol w:w="960"/>
      </w:tblGrid>
      <w:tr>
        <w:tc>
          <w:tcPr>
            <w:tcW w:type="dxa" w:w="960"/>
            <w:shd w:val="clear" w:color="auto" w:fill="3B4259"/>
          </w:tcPr>
          <w:p>
            <w:r>
              <w:rPr>
                <w:rFonts w:ascii="Calibri" w:hAnsi="Calibri"/>
                <w:b/>
                <w:color w:val="FFFFFF"/>
                <w:sz w:val="22"/>
              </w:rPr>
              <w:t>KPI</w:t>
            </w:r>
          </w:p>
        </w:tc>
        <w:tc>
          <w:tcPr>
            <w:tcW w:type="dxa" w:w="960"/>
            <w:shd w:val="clear" w:color="auto" w:fill="3B4259"/>
          </w:tcPr>
          <w:p>
            <w:r>
              <w:rPr>
                <w:rFonts w:ascii="Calibri" w:hAnsi="Calibri"/>
                <w:b/>
                <w:color w:val="FFFFFF"/>
                <w:sz w:val="22"/>
              </w:rPr>
              <w:t>Period</w:t>
            </w:r>
          </w:p>
        </w:tc>
        <w:tc>
          <w:tcPr>
            <w:tcW w:type="dxa" w:w="960"/>
            <w:shd w:val="clear" w:color="auto" w:fill="3B4259"/>
          </w:tcPr>
          <w:p>
            <w:r>
              <w:rPr>
                <w:rFonts w:ascii="Calibri" w:hAnsi="Calibri"/>
                <w:b/>
                <w:color w:val="FFFFFF"/>
                <w:sz w:val="22"/>
              </w:rPr>
              <w:t>Estimate (May 4, 2026 — 5 Days Post Q1 Earnings)</w:t>
            </w:r>
          </w:p>
        </w:tc>
        <w:tc>
          <w:tcPr>
            <w:tcW w:type="dxa" w:w="960"/>
            <w:shd w:val="clear" w:color="auto" w:fill="3B4259"/>
          </w:tcPr>
          <w:p>
            <w:r>
              <w:rPr>
                <w:rFonts w:ascii="Calibri" w:hAnsi="Calibri"/>
                <w:b/>
                <w:color w:val="FFFFFF"/>
                <w:sz w:val="22"/>
              </w:rPr>
              <w:t>Current Consensus</w:t>
            </w:r>
          </w:p>
        </w:tc>
        <w:tc>
          <w:tcPr>
            <w:tcW w:type="dxa" w:w="960"/>
            <w:shd w:val="clear" w:color="auto" w:fill="3B4259"/>
          </w:tcPr>
          <w:p>
            <w:r>
              <w:rPr>
                <w:rFonts w:ascii="Calibri" w:hAnsi="Calibri"/>
                <w:b/>
                <w:color w:val="FFFFFF"/>
                <w:sz w:val="22"/>
              </w:rPr>
              <w:t>Estimate Δ (%)</w:t>
            </w:r>
          </w:p>
        </w:tc>
        <w:tc>
          <w:tcPr>
            <w:tcW w:type="dxa" w:w="960"/>
            <w:shd w:val="clear" w:color="auto" w:fill="3B4259"/>
          </w:tcPr>
          <w:p>
            <w:r>
              <w:rPr>
                <w:rFonts w:ascii="Calibri" w:hAnsi="Calibri"/>
                <w:b/>
                <w:color w:val="FFFFFF"/>
                <w:sz w:val="22"/>
              </w:rPr>
              <w:t>Initial Guidance (Q1 Call)</w:t>
            </w:r>
          </w:p>
        </w:tc>
        <w:tc>
          <w:tcPr>
            <w:tcW w:type="dxa" w:w="960"/>
            <w:shd w:val="clear" w:color="auto" w:fill="3B4259"/>
          </w:tcPr>
          <w:p>
            <w:r>
              <w:rPr>
                <w:rFonts w:ascii="Calibri" w:hAnsi="Calibri"/>
                <w:b/>
                <w:color w:val="FFFFFF"/>
                <w:sz w:val="22"/>
              </w:rPr>
              <w:t>Current Guidance</w:t>
            </w:r>
          </w:p>
        </w:tc>
        <w:tc>
          <w:tcPr>
            <w:tcW w:type="dxa" w:w="960"/>
            <w:shd w:val="clear" w:color="auto" w:fill="3B4259"/>
          </w:tcPr>
          <w:p>
            <w:r>
              <w:rPr>
                <w:rFonts w:ascii="Calibri" w:hAnsi="Calibri"/>
                <w:b/>
                <w:color w:val="FFFFFF"/>
                <w:sz w:val="22"/>
              </w:rPr>
              <w:t>Guidance Δ</w:t>
            </w:r>
          </w:p>
        </w:tc>
        <w:tc>
          <w:tcPr>
            <w:tcW w:type="dxa" w:w="960"/>
            <w:shd w:val="clear" w:color="auto" w:fill="3B4259"/>
          </w:tcPr>
          <w:p>
            <w:r>
              <w:rPr>
                <w:rFonts w:ascii="Calibri" w:hAnsi="Calibri"/>
                <w:b/>
                <w:color w:val="FFFFFF"/>
                <w:sz w:val="22"/>
              </w:rPr>
              <w:t>Consensus vs. Guidance</w:t>
            </w:r>
          </w:p>
        </w:tc>
      </w:tr>
      <w:tr>
        <w:tc>
          <w:tcPr>
            <w:tcW w:type="dxa" w:w="960"/>
          </w:tcPr>
          <w:p>
            <w:r>
              <w:rPr>
                <w:rFonts w:ascii="Calibri" w:hAnsi="Calibri"/>
                <w:sz w:val="22"/>
              </w:rPr>
              <w:t>Total Revenue</w:t>
            </w:r>
          </w:p>
        </w:tc>
        <w:tc>
          <w:tcPr>
            <w:tcW w:type="dxa" w:w="960"/>
          </w:tcPr>
          <w:p>
            <w:r>
              <w:rPr>
                <w:rFonts w:ascii="Calibri" w:hAnsi="Calibri"/>
                <w:sz w:val="22"/>
              </w:rPr>
              <w:t>Q2 2026</w:t>
            </w:r>
          </w:p>
        </w:tc>
        <w:tc>
          <w:tcPr>
            <w:tcW w:type="dxa" w:w="960"/>
          </w:tcPr>
          <w:p>
            <w:r>
              <w:rPr>
                <w:rFonts w:ascii="Calibri" w:hAnsi="Calibri"/>
                <w:sz w:val="22"/>
              </w:rPr>
              <w:t>$2,417.4M</w:t>
            </w:r>
          </w:p>
        </w:tc>
        <w:tc>
          <w:tcPr>
            <w:tcW w:type="dxa" w:w="960"/>
          </w:tcPr>
          <w:p>
            <w:r>
              <w:rPr>
                <w:rFonts w:ascii="Calibri" w:hAnsi="Calibri"/>
                <w:sz w:val="22"/>
              </w:rPr>
              <w:t>$2,455.5M</w:t>
            </w:r>
          </w:p>
        </w:tc>
        <w:tc>
          <w:tcPr>
            <w:tcW w:type="dxa" w:w="960"/>
          </w:tcPr>
          <w:p>
            <w:r>
              <w:rPr>
                <w:rFonts w:ascii="Calibri" w:hAnsi="Calibri"/>
                <w:b/>
                <w:color w:val="30A46C"/>
                <w:sz w:val="22"/>
              </w:rPr>
              <w:t>+1.6%</w:t>
            </w:r>
          </w:p>
        </w:tc>
        <w:tc>
          <w:tcPr>
            <w:tcW w:type="dxa" w:w="960"/>
          </w:tcPr>
          <w:p>
            <w:r>
              <w:rPr>
                <w:rFonts w:ascii="Calibri" w:hAnsi="Calibri"/>
                <w:sz w:val="22"/>
              </w:rPr>
              <w:t>Mid-SD% decline (FY)</w:t>
            </w:r>
          </w:p>
        </w:tc>
        <w:tc>
          <w:tcPr>
            <w:tcW w:type="dxa" w:w="960"/>
          </w:tcPr>
          <w:p>
            <w:r>
              <w:rPr>
                <w:rFonts w:ascii="Calibri" w:hAnsi="Calibri"/>
                <w:sz w:val="22"/>
              </w:rPr>
              <w:t>Unchanged</w:t>
            </w:r>
          </w:p>
        </w:tc>
        <w:tc>
          <w:tcPr>
            <w:tcW w:type="dxa" w:w="960"/>
          </w:tcPr>
          <w:p>
            <w:r>
              <w:rPr>
                <w:rFonts w:ascii="Calibri" w:hAnsi="Calibri"/>
                <w:sz w:val="22"/>
              </w:rPr>
              <w:t>—</w:t>
            </w:r>
          </w:p>
        </w:tc>
        <w:tc>
          <w:tcPr>
            <w:tcW w:type="dxa" w:w="960"/>
          </w:tcPr>
          <w:p>
            <w:r>
              <w:rPr>
                <w:rFonts w:ascii="Calibri" w:hAnsi="Calibri"/>
                <w:sz w:val="22"/>
              </w:rPr>
              <w:t>In line</w:t>
            </w:r>
          </w:p>
        </w:tc>
      </w:tr>
      <w:tr>
        <w:tc>
          <w:tcPr>
            <w:tcW w:type="dxa" w:w="960"/>
          </w:tcPr>
          <w:p>
            <w:r>
              <w:rPr>
                <w:rFonts w:ascii="Calibri" w:hAnsi="Calibri"/>
                <w:sz w:val="22"/>
              </w:rPr>
              <w:t>Total Revenue</w:t>
            </w:r>
          </w:p>
        </w:tc>
        <w:tc>
          <w:tcPr>
            <w:tcW w:type="dxa" w:w="960"/>
          </w:tcPr>
          <w:p>
            <w:r>
              <w:rPr>
                <w:rFonts w:ascii="Calibri" w:hAnsi="Calibri"/>
                <w:sz w:val="22"/>
              </w:rPr>
              <w:t>FY 2026</w:t>
            </w:r>
          </w:p>
        </w:tc>
        <w:tc>
          <w:tcPr>
            <w:tcW w:type="dxa" w:w="960"/>
          </w:tcPr>
          <w:p>
            <w:r>
              <w:rPr>
                <w:rFonts w:ascii="Calibri" w:hAnsi="Calibri"/>
                <w:sz w:val="22"/>
              </w:rPr>
              <w:t>$9,871.3M</w:t>
            </w:r>
          </w:p>
        </w:tc>
        <w:tc>
          <w:tcPr>
            <w:tcW w:type="dxa" w:w="960"/>
          </w:tcPr>
          <w:p>
            <w:r>
              <w:rPr>
                <w:rFonts w:ascii="Calibri" w:hAnsi="Calibri"/>
                <w:sz w:val="22"/>
              </w:rPr>
              <w:t>$10,032.9M</w:t>
            </w:r>
          </w:p>
        </w:tc>
        <w:tc>
          <w:tcPr>
            <w:tcW w:type="dxa" w:w="960"/>
          </w:tcPr>
          <w:p>
            <w:r>
              <w:rPr>
                <w:rFonts w:ascii="Calibri" w:hAnsi="Calibri"/>
                <w:b/>
                <w:color w:val="30A46C"/>
                <w:sz w:val="22"/>
              </w:rPr>
              <w:t>+1.6%</w:t>
            </w:r>
          </w:p>
        </w:tc>
        <w:tc>
          <w:tcPr>
            <w:tcW w:type="dxa" w:w="960"/>
          </w:tcPr>
          <w:p>
            <w:r>
              <w:rPr>
                <w:rFonts w:ascii="Calibri" w:hAnsi="Calibri"/>
                <w:sz w:val="22"/>
              </w:rPr>
              <w:t>Mid-SD% decline</w:t>
            </w:r>
          </w:p>
        </w:tc>
        <w:tc>
          <w:tcPr>
            <w:tcW w:type="dxa" w:w="960"/>
          </w:tcPr>
          <w:p>
            <w:r>
              <w:rPr>
                <w:rFonts w:ascii="Calibri" w:hAnsi="Calibri"/>
                <w:sz w:val="22"/>
              </w:rPr>
              <w:t>Unchanged</w:t>
            </w:r>
          </w:p>
        </w:tc>
        <w:tc>
          <w:tcPr>
            <w:tcW w:type="dxa" w:w="960"/>
          </w:tcPr>
          <w:p>
            <w:r>
              <w:rPr>
                <w:rFonts w:ascii="Calibri" w:hAnsi="Calibri"/>
                <w:sz w:val="22"/>
              </w:rPr>
              <w:t>—</w:t>
            </w:r>
          </w:p>
        </w:tc>
        <w:tc>
          <w:tcPr>
            <w:tcW w:type="dxa" w:w="960"/>
          </w:tcPr>
          <w:p>
            <w:r>
              <w:rPr>
                <w:rFonts w:ascii="Calibri" w:hAnsi="Calibri"/>
                <w:sz w:val="22"/>
              </w:rPr>
              <w:t>In line</w:t>
            </w:r>
          </w:p>
        </w:tc>
      </w:tr>
      <w:tr>
        <w:tc>
          <w:tcPr>
            <w:tcW w:type="dxa" w:w="960"/>
          </w:tcPr>
          <w:p>
            <w:r>
              <w:rPr>
                <w:rFonts w:ascii="Calibri" w:hAnsi="Calibri"/>
                <w:sz w:val="22"/>
              </w:rPr>
              <w:t>Non-GAAP EPS</w:t>
            </w:r>
          </w:p>
        </w:tc>
        <w:tc>
          <w:tcPr>
            <w:tcW w:type="dxa" w:w="960"/>
          </w:tcPr>
          <w:p>
            <w:r>
              <w:rPr>
                <w:rFonts w:ascii="Calibri" w:hAnsi="Calibri"/>
                <w:sz w:val="22"/>
              </w:rPr>
              <w:t>Q2 2026</w:t>
            </w:r>
          </w:p>
        </w:tc>
        <w:tc>
          <w:tcPr>
            <w:tcW w:type="dxa" w:w="960"/>
          </w:tcPr>
          <w:p>
            <w:r>
              <w:rPr>
                <w:rFonts w:ascii="Calibri" w:hAnsi="Calibri"/>
                <w:sz w:val="22"/>
              </w:rPr>
              <w:t>$3.13</w:t>
            </w:r>
          </w:p>
        </w:tc>
        <w:tc>
          <w:tcPr>
            <w:tcW w:type="dxa" w:w="960"/>
          </w:tcPr>
          <w:p>
            <w:r>
              <w:rPr>
                <w:rFonts w:ascii="Calibri" w:hAnsi="Calibri"/>
                <w:sz w:val="22"/>
              </w:rPr>
              <w:t>$1.97</w:t>
            </w:r>
          </w:p>
        </w:tc>
        <w:tc>
          <w:tcPr>
            <w:tcW w:type="dxa" w:w="960"/>
          </w:tcPr>
          <w:p>
            <w:r>
              <w:rPr>
                <w:rFonts w:ascii="Calibri" w:hAnsi="Calibri"/>
                <w:b/>
                <w:color w:val="E5484D"/>
                <w:sz w:val="22"/>
              </w:rPr>
              <w:t>-37.1%</w:t>
            </w:r>
          </w:p>
        </w:tc>
        <w:tc>
          <w:tcPr>
            <w:tcW w:type="dxa" w:w="960"/>
          </w:tcPr>
          <w:p>
            <w:r>
              <w:rPr>
                <w:rFonts w:ascii="Calibri" w:hAnsi="Calibri"/>
                <w:sz w:val="22"/>
              </w:rPr>
              <w:t>Not guided (IPR&amp;D excluded)</w:t>
            </w:r>
          </w:p>
        </w:tc>
        <w:tc>
          <w:tcPr>
            <w:tcW w:type="dxa" w:w="960"/>
          </w:tcPr>
          <w:p>
            <w:r>
              <w:rPr>
                <w:rFonts w:ascii="Calibri" w:hAnsi="Calibri"/>
                <w:sz w:val="22"/>
              </w:rPr>
              <w:t>~$0.95 IPR&amp;D charge added (Jul 1 8-K)</w:t>
            </w:r>
          </w:p>
        </w:tc>
        <w:tc>
          <w:tcPr>
            <w:tcW w:type="dxa" w:w="960"/>
          </w:tcPr>
          <w:p>
            <w:r>
              <w:rPr>
                <w:rFonts w:ascii="Calibri" w:hAnsi="Calibri"/>
                <w:sz w:val="22"/>
              </w:rPr>
              <w:t>Known charge</w:t>
            </w:r>
          </w:p>
        </w:tc>
        <w:tc>
          <w:tcPr>
            <w:tcW w:type="dxa" w:w="960"/>
          </w:tcPr>
          <w:p>
            <w:r>
              <w:rPr>
                <w:rFonts w:ascii="Calibri" w:hAnsi="Calibri"/>
                <w:sz w:val="22"/>
              </w:rPr>
              <w:t>Depressed by charge</w:t>
            </w:r>
          </w:p>
        </w:tc>
      </w:tr>
      <w:tr>
        <w:tc>
          <w:tcPr>
            <w:tcW w:type="dxa" w:w="960"/>
          </w:tcPr>
          <w:p>
            <w:r>
              <w:rPr>
                <w:rFonts w:ascii="Calibri" w:hAnsi="Calibri"/>
                <w:sz w:val="22"/>
              </w:rPr>
              <w:t>Non-GAAP EPS</w:t>
            </w:r>
          </w:p>
        </w:tc>
        <w:tc>
          <w:tcPr>
            <w:tcW w:type="dxa" w:w="960"/>
          </w:tcPr>
          <w:p>
            <w:r>
              <w:rPr>
                <w:rFonts w:ascii="Calibri" w:hAnsi="Calibri"/>
                <w:sz w:val="22"/>
              </w:rPr>
              <w:t>FY 2026</w:t>
            </w:r>
          </w:p>
        </w:tc>
        <w:tc>
          <w:tcPr>
            <w:tcW w:type="dxa" w:w="960"/>
          </w:tcPr>
          <w:p>
            <w:r>
              <w:rPr>
                <w:rFonts w:ascii="Calibri" w:hAnsi="Calibri"/>
                <w:sz w:val="22"/>
              </w:rPr>
              <w:t>$14.64</w:t>
            </w:r>
          </w:p>
        </w:tc>
        <w:tc>
          <w:tcPr>
            <w:tcW w:type="dxa" w:w="960"/>
          </w:tcPr>
          <w:p>
            <w:r>
              <w:rPr>
                <w:rFonts w:ascii="Calibri" w:hAnsi="Calibri"/>
                <w:sz w:val="22"/>
              </w:rPr>
              <w:t>$12.60</w:t>
            </w:r>
          </w:p>
        </w:tc>
        <w:tc>
          <w:tcPr>
            <w:tcW w:type="dxa" w:w="960"/>
          </w:tcPr>
          <w:p>
            <w:r>
              <w:rPr>
                <w:rFonts w:ascii="Calibri" w:hAnsi="Calibri"/>
                <w:b/>
                <w:color w:val="E5484D"/>
                <w:sz w:val="22"/>
              </w:rPr>
              <w:t>-13.9%</w:t>
            </w:r>
          </w:p>
        </w:tc>
        <w:tc>
          <w:tcPr>
            <w:tcW w:type="dxa" w:w="960"/>
          </w:tcPr>
          <w:p>
            <w:r>
              <w:rPr>
                <w:rFonts w:ascii="Calibri" w:hAnsi="Calibri"/>
                <w:sz w:val="22"/>
              </w:rPr>
              <w:t>Not guided</w:t>
            </w:r>
          </w:p>
        </w:tc>
        <w:tc>
          <w:tcPr>
            <w:tcW w:type="dxa" w:w="960"/>
          </w:tcPr>
          <w:p>
            <w:r>
              <w:rPr>
                <w:rFonts w:ascii="Calibri" w:hAnsi="Calibri"/>
                <w:sz w:val="22"/>
              </w:rPr>
              <w:t>Multiple IPR&amp;D charges added (Q2 + Q3)</w:t>
            </w:r>
          </w:p>
        </w:tc>
        <w:tc>
          <w:tcPr>
            <w:tcW w:type="dxa" w:w="960"/>
          </w:tcPr>
          <w:p>
            <w:r>
              <w:rPr>
                <w:rFonts w:ascii="Calibri" w:hAnsi="Calibri"/>
                <w:sz w:val="22"/>
              </w:rPr>
              <w:t>Known charges</w:t>
            </w:r>
          </w:p>
        </w:tc>
        <w:tc>
          <w:tcPr>
            <w:tcW w:type="dxa" w:w="960"/>
          </w:tcPr>
          <w:p>
            <w:r>
              <w:rPr>
                <w:rFonts w:ascii="Calibri" w:hAnsi="Calibri"/>
                <w:sz w:val="22"/>
              </w:rPr>
              <w:t>Depressed by charges</w:t>
            </w:r>
          </w:p>
        </w:tc>
      </w:tr>
      <w:tr>
        <w:tc>
          <w:tcPr>
            <w:tcW w:type="dxa" w:w="960"/>
          </w:tcPr>
          <w:p>
            <w:r>
              <w:rPr>
                <w:rFonts w:ascii="Calibri" w:hAnsi="Calibri"/>
                <w:sz w:val="22"/>
              </w:rPr>
              <w:t>SPINRAZA Revenue</w:t>
            </w:r>
          </w:p>
        </w:tc>
        <w:tc>
          <w:tcPr>
            <w:tcW w:type="dxa" w:w="960"/>
          </w:tcPr>
          <w:p>
            <w:r>
              <w:rPr>
                <w:rFonts w:ascii="Calibri" w:hAnsi="Calibri"/>
                <w:sz w:val="22"/>
              </w:rPr>
              <w:t>Q2 2026</w:t>
            </w:r>
          </w:p>
        </w:tc>
        <w:tc>
          <w:tcPr>
            <w:tcW w:type="dxa" w:w="960"/>
          </w:tcPr>
          <w:p>
            <w:r>
              <w:rPr>
                <w:rFonts w:ascii="Calibri" w:hAnsi="Calibri"/>
                <w:sz w:val="22"/>
              </w:rPr>
              <w:t>$380.1M</w:t>
            </w:r>
          </w:p>
        </w:tc>
        <w:tc>
          <w:tcPr>
            <w:tcW w:type="dxa" w:w="960"/>
          </w:tcPr>
          <w:p>
            <w:r>
              <w:rPr>
                <w:rFonts w:ascii="Calibri" w:hAnsi="Calibri"/>
                <w:sz w:val="22"/>
              </w:rPr>
              <w:t>$384.8M</w:t>
            </w:r>
          </w:p>
        </w:tc>
        <w:tc>
          <w:tcPr>
            <w:tcW w:type="dxa" w:w="960"/>
          </w:tcPr>
          <w:p>
            <w:r>
              <w:rPr>
                <w:rFonts w:ascii="Calibri" w:hAnsi="Calibri"/>
                <w:b/>
                <w:color w:val="30A46C"/>
                <w:sz w:val="22"/>
              </w:rPr>
              <w:t>+1.2%</w:t>
            </w:r>
          </w:p>
        </w:tc>
        <w:tc>
          <w:tcPr>
            <w:tcW w:type="dxa" w:w="960"/>
          </w:tcPr>
          <w:p>
            <w:r>
              <w:rPr>
                <w:rFonts w:ascii="Calibri" w:hAnsi="Calibri"/>
                <w:sz w:val="22"/>
              </w:rPr>
              <w:t>Stable</w:t>
            </w:r>
          </w:p>
        </w:tc>
        <w:tc>
          <w:tcPr>
            <w:tcW w:type="dxa" w:w="960"/>
          </w:tcPr>
          <w:p>
            <w:r>
              <w:rPr>
                <w:rFonts w:ascii="Calibri" w:hAnsi="Calibri"/>
                <w:sz w:val="22"/>
              </w:rPr>
              <w:t>Unchanged</w:t>
            </w:r>
          </w:p>
        </w:tc>
        <w:tc>
          <w:tcPr>
            <w:tcW w:type="dxa" w:w="960"/>
          </w:tcPr>
          <w:p>
            <w:r>
              <w:rPr>
                <w:rFonts w:ascii="Calibri" w:hAnsi="Calibri"/>
                <w:sz w:val="22"/>
              </w:rPr>
              <w:t>—</w:t>
            </w:r>
          </w:p>
        </w:tc>
        <w:tc>
          <w:tcPr>
            <w:tcW w:type="dxa" w:w="960"/>
          </w:tcPr>
          <w:p>
            <w:r>
              <w:rPr>
                <w:rFonts w:ascii="Calibri" w:hAnsi="Calibri"/>
                <w:sz w:val="22"/>
              </w:rPr>
              <w:t>In line</w:t>
            </w:r>
          </w:p>
        </w:tc>
      </w:tr>
      <w:tr>
        <w:tc>
          <w:tcPr>
            <w:tcW w:type="dxa" w:w="960"/>
          </w:tcPr>
          <w:p>
            <w:r>
              <w:rPr>
                <w:rFonts w:ascii="Calibri" w:hAnsi="Calibri"/>
                <w:sz w:val="22"/>
              </w:rPr>
              <w:t>LEQEMBI (Biogen Share)</w:t>
            </w:r>
          </w:p>
        </w:tc>
        <w:tc>
          <w:tcPr>
            <w:tcW w:type="dxa" w:w="960"/>
          </w:tcPr>
          <w:p>
            <w:r>
              <w:rPr>
                <w:rFonts w:ascii="Calibri" w:hAnsi="Calibri"/>
                <w:sz w:val="22"/>
              </w:rPr>
              <w:t>Q2 2026</w:t>
            </w:r>
          </w:p>
        </w:tc>
        <w:tc>
          <w:tcPr>
            <w:tcW w:type="dxa" w:w="960"/>
          </w:tcPr>
          <w:p>
            <w:r>
              <w:rPr>
                <w:rFonts w:ascii="Calibri" w:hAnsi="Calibri"/>
                <w:sz w:val="22"/>
              </w:rPr>
              <w:t>N/A</w:t>
            </w:r>
          </w:p>
        </w:tc>
        <w:tc>
          <w:tcPr>
            <w:tcW w:type="dxa" w:w="960"/>
          </w:tcPr>
          <w:p>
            <w:r>
              <w:rPr>
                <w:rFonts w:ascii="Calibri" w:hAnsi="Calibri"/>
                <w:sz w:val="22"/>
              </w:rPr>
              <w:t>$51.8M</w:t>
            </w:r>
          </w:p>
        </w:tc>
        <w:tc>
          <w:tcPr>
            <w:tcW w:type="dxa" w:w="960"/>
          </w:tcPr>
          <w:p>
            <w:r>
              <w:rPr>
                <w:rFonts w:ascii="Calibri" w:hAnsi="Calibri"/>
                <w:sz w:val="22"/>
              </w:rPr>
              <w:t>N/A</w:t>
            </w:r>
          </w:p>
        </w:tc>
        <w:tc>
          <w:tcPr>
            <w:tcW w:type="dxa" w:w="960"/>
          </w:tcPr>
          <w:p>
            <w:r>
              <w:rPr>
                <w:rFonts w:ascii="Calibri" w:hAnsi="Calibri"/>
                <w:sz w:val="22"/>
              </w:rPr>
              <w:t>Sequential growth</w:t>
            </w:r>
          </w:p>
        </w:tc>
        <w:tc>
          <w:tcPr>
            <w:tcW w:type="dxa" w:w="960"/>
          </w:tcPr>
          <w:p>
            <w:r>
              <w:rPr>
                <w:rFonts w:ascii="Calibri" w:hAnsi="Calibri"/>
                <w:sz w:val="22"/>
              </w:rPr>
              <w:t>Unchanged</w:t>
            </w:r>
          </w:p>
        </w:tc>
        <w:tc>
          <w:tcPr>
            <w:tcW w:type="dxa" w:w="960"/>
          </w:tcPr>
          <w:p>
            <w:r>
              <w:rPr>
                <w:rFonts w:ascii="Calibri" w:hAnsi="Calibri"/>
                <w:sz w:val="22"/>
              </w:rPr>
              <w:t>—</w:t>
            </w:r>
          </w:p>
        </w:tc>
        <w:tc>
          <w:tcPr>
            <w:tcW w:type="dxa" w:w="960"/>
          </w:tcPr>
          <w:p>
            <w:r>
              <w:rPr>
                <w:rFonts w:ascii="Calibri" w:hAnsi="Calibri"/>
                <w:sz w:val="22"/>
              </w:rPr>
              <w:t>Slightly below Q1 trend</w:t>
            </w:r>
          </w:p>
        </w:tc>
      </w:tr>
    </w:tbl>
    <w:p>
      <w:r>
        <w:rPr>
          <w:rFonts w:ascii="Calibri" w:hAnsi="Calibri"/>
          <w:b/>
          <w:color w:val="525866"/>
          <w:sz w:val="22"/>
        </w:rPr>
        <w:t xml:space="preserve">Commentary: </w:t>
      </w:r>
      <w:r>
        <w:rPr>
          <w:rFonts w:ascii="Calibri" w:hAnsi="Calibri"/>
          <w:color w:val="525866"/>
          <w:sz w:val="22"/>
        </w:rPr>
        <w:t>The sharp EPS revision from $3.13 to $1.97 for Q2 is entirely mechanical — the July 1 8-K disclosed a ~$0.95/share IPR&amp;D charge. Stripping this out, underlying EPS consensus is ~$2.87, a reasonable bar given Apellis financing drag (~$30–35M impact to other income/expense in Q2). Revenue estimates have actually drifted slightly higher since Q1 earnings, suggesting the Street is incrementally more constructive on the underlying business, likely reflecting Apellis consolidation upside. The FY 2026 EPS revision (-13.9%) similarly reflects the cumulative Q2 and Q3 IPR&amp;D charges, not deterioration in the core business.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BIIB is up ~5.8% since Q1 earnings (from $194.38 to ~$205.61), significantly underperforming the biotech sector. </w:t>
      </w:r>
      <w:r>
        <w:rPr>
          <w:rFonts w:ascii="Calibri" w:hAnsi="Calibri"/>
          <w:b/>
          <w:color w:val="525866"/>
          <w:sz w:val="22"/>
        </w:rPr>
        <w:t>The stock’s relative underperformance reflects investor skepticism about near-term EPS trajectory and Apellis integration risk, despite strong underlying business execution.</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BIIB vs. XBI (SPDR S&amp;P Biotech ETF) vs. S&amp;P 500 — Indexed to 100 at Q1 2026 Earnings (Apr 29, 2026). Source: Yahoo Finance.</w:t>
      </w:r>
    </w:p>
    <w:p>
      <w:pPr>
        <w:pStyle w:val="Heading3"/>
      </w:pPr>
      <w:r>
        <w:rPr>
          <w:rFonts w:ascii="Calibri" w:hAnsi="Calibri"/>
          <w:b/>
          <w:color w:val="3B4259"/>
          <w:sz w:val="24"/>
        </w:rPr>
        <w:t>Key Events Since Q1 2026 Earnings</w:t>
      </w:r>
    </w:p>
    <w:p>
      <w:pPr>
        <w:pStyle w:val="ListBullet"/>
        <w:ind w:left="360" w:hanging="360"/>
      </w:pPr>
      <w:r>
        <w:rPr>
          <w:rFonts w:ascii="Calibri" w:hAnsi="Calibri"/>
          <w:b/>
          <w:color w:val="525866"/>
          <w:sz w:val="22"/>
        </w:rPr>
        <w:t>Apr 29, 2026 — Q1 2026 Earnings Beat:</w:t>
      </w:r>
      <w:r>
        <w:rPr>
          <w:rFonts w:ascii="Calibri" w:hAnsi="Calibri"/>
          <w:color w:val="525866"/>
          <w:sz w:val="22"/>
        </w:rPr>
        <w:t xml:space="preserve"> Stock +5.7% on the day (from $183.38 to $194.38). Strong beat on revenue (+10.2%) and EPS (+23.5%). Growth products exceeded MS franchise revenue for the first time.</w:t>
      </w:r>
    </w:p>
    <w:p>
      <w:pPr>
        <w:pStyle w:val="ListBullet"/>
        <w:ind w:left="360" w:hanging="360"/>
      </w:pPr>
      <w:r>
        <w:rPr>
          <w:rFonts w:ascii="Calibri" w:hAnsi="Calibri"/>
          <w:b/>
          <w:color w:val="525866"/>
          <w:sz w:val="22"/>
        </w:rPr>
        <w:t>May 14, 2026 — Apellis Acquisition Closed:</w:t>
      </w:r>
      <w:r>
        <w:rPr>
          <w:rFonts w:ascii="Calibri" w:hAnsi="Calibri"/>
          <w:color w:val="525866"/>
          <w:sz w:val="22"/>
        </w:rPr>
        <w:t xml:space="preserve"> Biogen completed the acquisition at $41/share + CVR. Stock dipped ~1.6% on financing concerns. First full quarter of SYFOVRE and EMPAVELI consolidation begins in Q2.</w:t>
      </w:r>
    </w:p>
    <w:p>
      <w:pPr>
        <w:pStyle w:val="ListBullet"/>
        <w:ind w:left="360" w:hanging="360"/>
      </w:pPr>
      <w:r>
        <w:rPr>
          <w:rFonts w:ascii="Calibri" w:hAnsi="Calibri"/>
          <w:b/>
          <w:color w:val="525866"/>
          <w:sz w:val="22"/>
        </w:rPr>
        <w:t>Jun 26, 2026 — Stock Spike to ~$216 (Peak):</w:t>
      </w:r>
      <w:r>
        <w:rPr>
          <w:rFonts w:ascii="Calibri" w:hAnsi="Calibri"/>
          <w:color w:val="525866"/>
          <w:sz w:val="22"/>
        </w:rPr>
        <w:t xml:space="preserve"> Stock surged ~11% from prior close, likely driven by LEQEMBI IQLIK initiation approval momentum and positive pipeline sentiment. Represented the high-water mark since Q1 earnings.</w:t>
      </w:r>
    </w:p>
    <w:p>
      <w:pPr>
        <w:pStyle w:val="ListBullet"/>
        <w:ind w:left="360" w:hanging="360"/>
      </w:pPr>
      <w:r>
        <w:rPr>
          <w:rFonts w:ascii="Calibri" w:hAnsi="Calibri"/>
          <w:b/>
          <w:color w:val="525866"/>
          <w:sz w:val="22"/>
        </w:rPr>
        <w:t>Jul 1, 2026 — IPR&amp;D Charge Warning (8-K):</w:t>
      </w:r>
      <w:r>
        <w:rPr>
          <w:rFonts w:ascii="Calibri" w:hAnsi="Calibri"/>
          <w:color w:val="525866"/>
          <w:sz w:val="22"/>
        </w:rPr>
        <w:t xml:space="preserve"> Biogen disclosed ~$0.95/share Q2 and ~$1.75–$1.95/share Q3 IPR&amp;D charges. Stock fell ~3% from peak. Non-GAAP EPS consensus revised sharply lower.</w:t>
      </w:r>
    </w:p>
    <w:p>
      <w:pPr>
        <w:pStyle w:val="ListBullet"/>
        <w:ind w:left="360" w:hanging="360"/>
      </w:pPr>
      <w:r>
        <w:rPr>
          <w:rFonts w:ascii="Calibri" w:hAnsi="Calibri"/>
          <w:b/>
          <w:color w:val="525866"/>
          <w:sz w:val="22"/>
        </w:rPr>
        <w:t>Jul 14, 2026 — AAIC Conference — Diranersen Phase 3 Advancement:</w:t>
      </w:r>
      <w:r>
        <w:rPr>
          <w:rFonts w:ascii="Calibri" w:hAnsi="Calibri"/>
          <w:color w:val="525866"/>
          <w:sz w:val="22"/>
        </w:rPr>
        <w:t xml:space="preserve"> Biogen presented CELIA Phase 2 data showing unprecedented tau tangle reduction and cognitive benefit signals. Phase 3 advancement confirmed. Stock volatile in $192–$209 range around the event.</w:t>
      </w:r>
    </w:p>
    <w:p>
      <w:pPr>
        <w:pStyle w:val="ListBullet"/>
        <w:ind w:left="360" w:hanging="360"/>
      </w:pPr>
      <w:r>
        <w:rPr>
          <w:rFonts w:ascii="Calibri" w:hAnsi="Calibri"/>
          <w:b/>
          <w:color w:val="525866"/>
          <w:sz w:val="22"/>
        </w:rPr>
        <w:t>Jul 28, 2026 (Today):</w:t>
      </w:r>
      <w:r>
        <w:rPr>
          <w:rFonts w:ascii="Calibri" w:hAnsi="Calibri"/>
          <w:color w:val="525866"/>
          <w:sz w:val="22"/>
        </w:rPr>
        <w:t xml:space="preserve"> BIIB at $205.61, up ~5.8% from Q1 earnings close of $194.38.</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Apellis acquisition close (May 14) is the most transformative development — it adds SYFOVRE and EMPAVELI to the portfolio and brings nephrology commercial infrastructure. </w:t>
      </w:r>
      <w:r>
        <w:rPr>
          <w:rFonts w:ascii="Calibri" w:hAnsi="Calibri"/>
          <w:b/>
          <w:color w:val="525866"/>
          <w:sz w:val="22"/>
        </w:rPr>
        <w:t>The LEQEMBI IQLIK initiation approval and diranersen Phase 3 advancement are the key pipeline catalysts heading into the print.</w:t>
      </w:r>
    </w:p>
    <w:p>
      <w:pPr>
        <w:pStyle w:val="ListBullet"/>
        <w:ind w:left="360" w:hanging="360"/>
      </w:pPr>
      <w:r>
        <w:rPr>
          <w:rFonts w:ascii="Calibri" w:hAnsi="Calibri"/>
          <w:b/>
          <w:color w:val="525866"/>
          <w:sz w:val="22"/>
        </w:rPr>
        <w:t>May 14, 2026 — Apellis Acquisition Closed:</w:t>
      </w:r>
      <w:r>
        <w:rPr>
          <w:rFonts w:ascii="Calibri" w:hAnsi="Calibri"/>
          <w:color w:val="525866"/>
          <w:sz w:val="22"/>
        </w:rPr>
        <w:t xml:space="preserve"> Biogen completed the acquisition of Apellis Pharmaceuticals for $41/share in cash plus a CVR of up to $4/share tied to SYFOVRE sales milestones. Total deal value ~$5.3B. Adds </w:t>
      </w:r>
      <w:r>
        <w:rPr>
          <w:rFonts w:ascii="Calibri" w:hAnsi="Calibri"/>
          <w:b/>
          <w:color w:val="525866"/>
          <w:sz w:val="22"/>
        </w:rPr>
        <w:t>SYFOVRE</w:t>
      </w:r>
      <w:r>
        <w:rPr>
          <w:rFonts w:ascii="Calibri" w:hAnsi="Calibri"/>
          <w:color w:val="525866"/>
          <w:sz w:val="22"/>
        </w:rPr>
        <w:t xml:space="preserve"> (geographic atrophy, first-ever approved therapy) and </w:t>
      </w:r>
      <w:r>
        <w:rPr>
          <w:rFonts w:ascii="Calibri" w:hAnsi="Calibri"/>
          <w:b/>
          <w:color w:val="525866"/>
          <w:sz w:val="22"/>
        </w:rPr>
        <w:t>EMPAVELI</w:t>
      </w:r>
      <w:r>
        <w:rPr>
          <w:rFonts w:ascii="Calibri" w:hAnsi="Calibri"/>
          <w:color w:val="525866"/>
          <w:sz w:val="22"/>
        </w:rPr>
        <w:t xml:space="preserve"> (C3G/IC-MPGN, PNH). Apellis products recorded $689M in net revenue in 2025. Transaction expected to be accretive to non-GAAP EPS in 2027 and materially increase EPS CAGR through end of decade. </w:t>
      </w:r>
      <w:r>
        <w:rPr>
          <w:rFonts w:ascii="Calibri" w:hAnsi="Calibri"/>
          <w:b/>
          <w:color w:val="525866"/>
          <w:sz w:val="22"/>
        </w:rPr>
        <w:t>Implication:</w:t>
      </w:r>
      <w:r>
        <w:rPr>
          <w:rFonts w:ascii="Calibri" w:hAnsi="Calibri"/>
          <w:color w:val="525866"/>
          <w:sz w:val="22"/>
        </w:rPr>
        <w:t xml:space="preserve"> Q2 2026 will be the first full quarter of Apellis consolidation — SYFOVRE and EMPAVELI revenue recognition, plus Apellis commercial infrastructure costs, will all flow through for the first time.</w:t>
      </w:r>
    </w:p>
    <w:p>
      <w:pPr>
        <w:pStyle w:val="ListBullet"/>
        <w:ind w:left="360" w:hanging="360"/>
      </w:pPr>
      <w:r>
        <w:rPr>
          <w:rFonts w:ascii="Calibri" w:hAnsi="Calibri"/>
          <w:b/>
          <w:color w:val="525866"/>
          <w:sz w:val="22"/>
        </w:rPr>
        <w:t>Post-Q1 2026 — LEQEMBI IQLIK Initiation Approval:</w:t>
      </w:r>
      <w:r>
        <w:rPr>
          <w:rFonts w:ascii="Calibri" w:hAnsi="Calibri"/>
          <w:color w:val="525866"/>
          <w:sz w:val="22"/>
        </w:rPr>
        <w:t xml:space="preserve"> FDA approved LEQEMBI IQLIK (subcutaneous formulation) for treatment initiation in early Alzheimer’s disease. Management had characterized this as a potential “game changer” that eliminates infusion burden and could accelerate growth in 2027 once fully reimbursed under Part D. </w:t>
      </w:r>
      <w:r>
        <w:rPr>
          <w:rFonts w:ascii="Calibri" w:hAnsi="Calibri"/>
          <w:b/>
          <w:color w:val="525866"/>
          <w:sz w:val="22"/>
        </w:rPr>
        <w:t>Implication:</w:t>
      </w:r>
      <w:r>
        <w:rPr>
          <w:rFonts w:ascii="Calibri" w:hAnsi="Calibri"/>
          <w:color w:val="525866"/>
          <w:sz w:val="22"/>
        </w:rPr>
        <w:t xml:space="preserve"> Formulary decisions in fall 2026 will determine Part D reimbursement starting January 2027 — a key catalyst for 2027 LEQEMBI acceleration.</w:t>
      </w:r>
    </w:p>
    <w:p>
      <w:pPr>
        <w:pStyle w:val="ListBullet"/>
        <w:ind w:left="360" w:hanging="360"/>
      </w:pPr>
      <w:r>
        <w:rPr>
          <w:rFonts w:ascii="Calibri" w:hAnsi="Calibri"/>
          <w:b/>
          <w:color w:val="525866"/>
          <w:sz w:val="22"/>
        </w:rPr>
        <w:t>July 1, 2026 — Q2/Q3 IPR&amp;D Charge Warning (8-K):</w:t>
      </w:r>
      <w:r>
        <w:rPr>
          <w:rFonts w:ascii="Calibri" w:hAnsi="Calibri"/>
          <w:color w:val="525866"/>
          <w:sz w:val="22"/>
        </w:rPr>
        <w:t xml:space="preserve"> Biogen disclosed expected acquired IPR&amp;D charges of ~$164M (~$0.95/share) in Q2 2026 and ~$290–$320M (~$1.75–$1.95/share) in Q3 2026, related to potential milestones and transactions not yet closed. The Q2 charge is slightly above the $0.80 guided at Q1 earnings. </w:t>
      </w:r>
      <w:r>
        <w:rPr>
          <w:rFonts w:ascii="Calibri" w:hAnsi="Calibri"/>
          <w:b/>
          <w:color w:val="525866"/>
          <w:sz w:val="22"/>
        </w:rPr>
        <w:t>Implication:</w:t>
      </w:r>
      <w:r>
        <w:rPr>
          <w:rFonts w:ascii="Calibri" w:hAnsi="Calibri"/>
          <w:color w:val="525866"/>
          <w:sz w:val="22"/>
        </w:rPr>
        <w:t xml:space="preserve"> Non-GAAP EPS for Q2 and Q3 will be significantly depressed; investors should focus on revenue and underlying operating performance rather than headline EPS.</w:t>
      </w:r>
    </w:p>
    <w:p>
      <w:pPr>
        <w:pStyle w:val="ListBullet"/>
        <w:ind w:left="360" w:hanging="360"/>
      </w:pPr>
      <w:r>
        <w:rPr>
          <w:rFonts w:ascii="Calibri" w:hAnsi="Calibri"/>
          <w:b/>
          <w:color w:val="525866"/>
          <w:sz w:val="22"/>
        </w:rPr>
        <w:t>July 14, 2026 — AAIC Conference: Diranersen (BIIB080) Phase 3 Advancement:</w:t>
      </w:r>
      <w:r>
        <w:rPr>
          <w:rFonts w:ascii="Calibri" w:hAnsi="Calibri"/>
          <w:color w:val="525866"/>
          <w:sz w:val="22"/>
        </w:rPr>
        <w:t xml:space="preserve"> Biogen presented CELIA Phase 2 data showing unprecedented tau tangle reduction via tau PET across all doses and cognitive benefit signals (42% improvement on ADAS-Cog 13, 50% on MMSE at the 60mg dose). No ARIA observed. Biogen is advancing diranersen to Phase 3 “urgently.” Roche also presented positive long-term data for its brain shuttle anti-amyloid antibody at AAIC. </w:t>
      </w:r>
      <w:r>
        <w:rPr>
          <w:rFonts w:ascii="Calibri" w:hAnsi="Calibri"/>
          <w:b/>
          <w:color w:val="525866"/>
          <w:sz w:val="22"/>
        </w:rPr>
        <w:t>Implication:</w:t>
      </w:r>
      <w:r>
        <w:rPr>
          <w:rFonts w:ascii="Calibri" w:hAnsi="Calibri"/>
          <w:color w:val="525866"/>
          <w:sz w:val="22"/>
        </w:rPr>
        <w:t xml:space="preserve"> Diranersen Phase 3 initiation timeline and FDA end-of-Phase 2 meeting outcome are key pipeline catalysts; the market’s reaction to the CELIA data was mixed (stock declined on primary endpoint miss despite positive framing).</w:t>
      </w:r>
    </w:p>
    <w:p>
      <w:pPr>
        <w:pStyle w:val="ListBullet"/>
        <w:ind w:left="360" w:hanging="360"/>
      </w:pPr>
      <w:r>
        <w:rPr>
          <w:rFonts w:ascii="Calibri" w:hAnsi="Calibri"/>
          <w:b/>
          <w:color w:val="525866"/>
          <w:sz w:val="22"/>
        </w:rPr>
        <w:t>June 8, 2026 — Needham Upgrade to Buy:</w:t>
      </w:r>
      <w:r>
        <w:rPr>
          <w:rFonts w:ascii="Calibri" w:hAnsi="Calibri"/>
          <w:color w:val="525866"/>
          <w:sz w:val="22"/>
        </w:rPr>
        <w:t xml:space="preserve"> Needham upgraded BIIB to Buy from Hold, citing the Apellis acquisition and pipeline optionality. </w:t>
      </w:r>
      <w:r>
        <w:rPr>
          <w:rFonts w:ascii="Calibri" w:hAnsi="Calibri"/>
          <w:b/>
          <w:color w:val="525866"/>
          <w:sz w:val="22"/>
        </w:rPr>
        <w:t>Implication:</w:t>
      </w:r>
      <w:r>
        <w:rPr>
          <w:rFonts w:ascii="Calibri" w:hAnsi="Calibri"/>
          <w:color w:val="525866"/>
          <w:sz w:val="22"/>
        </w:rPr>
        <w:t xml:space="preserve"> Incremental sell-side support; suggests the Street is beginning to recognize the portfolio transformation.</w:t>
      </w:r>
    </w:p>
    <w:p>
      <w:pPr>
        <w:pStyle w:val="ListBullet"/>
        <w:ind w:left="360" w:hanging="360"/>
      </w:pPr>
      <w:r>
        <w:rPr>
          <w:rFonts w:ascii="Calibri" w:hAnsi="Calibri"/>
          <w:b/>
          <w:color w:val="525866"/>
          <w:sz w:val="22"/>
        </w:rPr>
        <w:t>May–June 2026 — Eisai Investor Day (LEQEMBI Partner):</w:t>
      </w:r>
      <w:r>
        <w:rPr>
          <w:rFonts w:ascii="Calibri" w:hAnsi="Calibri"/>
          <w:color w:val="525866"/>
          <w:sz w:val="22"/>
        </w:rPr>
        <w:t xml:space="preserve"> Eisai projected LEQEMBI revenue of JPY 143.5B (~$1B) for FY2026 (63% YoY growth) and JPY 300B by FY2028. IQLIK maintenance already in ~600 facilities with ~85% insurance coverage. Blood-based biomarker adoption has doubled in 2 years. </w:t>
      </w:r>
      <w:r>
        <w:rPr>
          <w:rFonts w:ascii="Calibri" w:hAnsi="Calibri"/>
          <w:b/>
          <w:color w:val="525866"/>
          <w:sz w:val="22"/>
        </w:rPr>
        <w:t>Implication:</w:t>
      </w:r>
      <w:r>
        <w:rPr>
          <w:rFonts w:ascii="Calibri" w:hAnsi="Calibri"/>
          <w:color w:val="525866"/>
          <w:sz w:val="22"/>
        </w:rPr>
        <w:t xml:space="preserve"> Eisai’s bullish LEQEMBI trajectory is a positive read-through for Biogen’s revenue share; the AAT market is in “full scale growth” per Eisai.</w:t>
      </w:r>
    </w:p>
    <w:p>
      <w:pPr>
        <w:pStyle w:val="ListBullet"/>
        <w:ind w:left="360" w:hanging="360"/>
      </w:pPr>
      <w:r>
        <w:rPr>
          <w:rFonts w:ascii="Calibri" w:hAnsi="Calibri"/>
          <w:b/>
          <w:color w:val="525866"/>
          <w:sz w:val="22"/>
        </w:rPr>
        <w:t>AstraZeneca Q2 2026 — Saphnelo (SLE) Growth:</w:t>
      </w:r>
      <w:r>
        <w:rPr>
          <w:rFonts w:ascii="Calibri" w:hAnsi="Calibri"/>
          <w:color w:val="525866"/>
          <w:sz w:val="22"/>
        </w:rPr>
        <w:t xml:space="preserve"> AstraZeneca reported Saphnelo (anifrolumab) revenue up 24% to $209M in Q2 2026, driven by share gains in IV SLE and a new subcutaneous formulation launch. </w:t>
      </w:r>
      <w:r>
        <w:rPr>
          <w:rFonts w:ascii="Calibri" w:hAnsi="Calibri"/>
          <w:b/>
          <w:color w:val="525866"/>
          <w:sz w:val="22"/>
        </w:rPr>
        <w:t>Implication:</w:t>
      </w:r>
      <w:r>
        <w:rPr>
          <w:rFonts w:ascii="Calibri" w:hAnsi="Calibri"/>
          <w:color w:val="525866"/>
          <w:sz w:val="22"/>
        </w:rPr>
        <w:t xml:space="preserve"> The SLE market is growing and patients are receptive to new mechanisms — a positive read-through for Biogen’s litifilimab (Phase 3 TOPAZ-1 readout expected H2 2026).</w:t>
      </w:r>
    </w:p>
    <w:p>
      <w:pPr>
        <w:pStyle w:val="ListBullet"/>
        <w:ind w:left="360" w:hanging="360"/>
      </w:pPr>
      <w:r>
        <w:rPr>
          <w:rFonts w:ascii="Calibri" w:hAnsi="Calibri"/>
          <w:b/>
          <w:color w:val="525866"/>
          <w:sz w:val="22"/>
        </w:rPr>
        <w:t>Novartis Q2 2026 — BTK Inhibitor Commentary:</w:t>
      </w:r>
      <w:r>
        <w:rPr>
          <w:rFonts w:ascii="Calibri" w:hAnsi="Calibri"/>
          <w:color w:val="525866"/>
          <w:sz w:val="22"/>
        </w:rPr>
        <w:t xml:space="preserve"> Novartis commented on its BTK inhibitor remibrutinib in MS, explicitly referencing fenebrutinib (Biogen’s BIIB091 partner Roche) data and stating it believes remibrutinib is “more potent and more selective.” Novartis’s Kesimpta grew 32% in Q2 2026. </w:t>
      </w:r>
      <w:r>
        <w:rPr>
          <w:rFonts w:ascii="Calibri" w:hAnsi="Calibri"/>
          <w:b/>
          <w:color w:val="525866"/>
          <w:sz w:val="22"/>
        </w:rPr>
        <w:t>Implication:</w:t>
      </w:r>
      <w:r>
        <w:rPr>
          <w:rFonts w:ascii="Calibri" w:hAnsi="Calibri"/>
          <w:color w:val="525866"/>
          <w:sz w:val="22"/>
        </w:rPr>
        <w:t xml:space="preserve"> Competitive signal for BIIB091 in MS; Biogen’s BTK program faces a well-resourced competitor.</w:t>
      </w:r>
    </w:p>
    <w:p>
      <w:pPr>
        <w:pStyle w:val="ListBullet"/>
        <w:ind w:left="360" w:hanging="360"/>
      </w:pPr>
      <w:r>
        <w:rPr>
          <w:rFonts w:ascii="Calibri" w:hAnsi="Calibri"/>
          <w:b/>
          <w:color w:val="525866"/>
          <w:sz w:val="22"/>
        </w:rPr>
        <w:t>Ionis Goldman Sachs Conference (June 2026) — BIIB080 and Salanersen Commentary:</w:t>
      </w:r>
      <w:r>
        <w:rPr>
          <w:rFonts w:ascii="Calibri" w:hAnsi="Calibri"/>
          <w:color w:val="525866"/>
          <w:sz w:val="22"/>
        </w:rPr>
        <w:t xml:space="preserve"> Ionis (BIIB’s partner on diranersen and salanersen) expressed confidence in the tau program ahead of AAIC, anticipating “unprecedented improvements in cognition.” Ionis also highlighted salanersen as a “follow-on to SPINRAZA with once-per-year intrathecal dosing and even greater efficacy.” </w:t>
      </w:r>
      <w:r>
        <w:rPr>
          <w:rFonts w:ascii="Calibri" w:hAnsi="Calibri"/>
          <w:b/>
          <w:color w:val="525866"/>
          <w:sz w:val="22"/>
        </w:rPr>
        <w:t>Implication:</w:t>
      </w:r>
      <w:r>
        <w:rPr>
          <w:rFonts w:ascii="Calibri" w:hAnsi="Calibri"/>
          <w:color w:val="525866"/>
          <w:sz w:val="22"/>
        </w:rPr>
        <w:t xml:space="preserve"> Partner confidence in two key pipeline assets; salanersen’s Phase 3 initiation (STELLAR-1 already screening) is a positive signal for SPINRAZA franchise durability.</w:t>
      </w:r>
    </w:p>
    <w:p>
      <w:r>
        <w:br w:type="page"/>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 xml:space="preserve">No open-market buys or discretionary sells since Q1 earnings. All transactions are routine director compensation grants (RSU vesting/award) and one tax withholding sale — </w:t>
      </w:r>
      <w:r>
        <w:rPr>
          <w:rFonts w:ascii="Calibri" w:hAnsi="Calibri"/>
          <w:b/>
          <w:color w:val="525866"/>
          <w:sz w:val="22"/>
        </w:rPr>
        <w:t>no meaningful insider signal either way.</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Date (Effective)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Freire Maria C</w:t>
            </w:r>
          </w:p>
        </w:tc>
        <w:tc>
          <w:tcPr>
            <w:tcW w:type="dxa" w:w="1440"/>
          </w:tcPr>
          <w:p>
            <w:r>
              <w:rPr>
                <w:rFonts w:ascii="Calibri" w:hAnsi="Calibri"/>
                <w:sz w:val="22"/>
              </w:rPr>
              <w:t>Director</w:t>
            </w:r>
          </w:p>
        </w:tc>
        <w:tc>
          <w:tcPr>
            <w:tcW w:type="dxa" w:w="1440"/>
          </w:tcPr>
          <w:p>
            <w:r>
              <w:rPr>
                <w:rFonts w:ascii="Calibri" w:hAnsi="Calibri"/>
                <w:sz w:val="22"/>
              </w:rPr>
              <w:t>RSU Award (Compensation)</w:t>
            </w:r>
          </w:p>
        </w:tc>
        <w:tc>
          <w:tcPr>
            <w:tcW w:type="dxa" w:w="1440"/>
          </w:tcPr>
          <w:p>
            <w:r>
              <w:rPr>
                <w:rFonts w:ascii="Calibri" w:hAnsi="Calibri"/>
                <w:sz w:val="22"/>
              </w:rPr>
              <w:t>2,005 shares</w:t>
            </w:r>
          </w:p>
        </w:tc>
        <w:tc>
          <w:tcPr>
            <w:tcW w:type="dxa" w:w="1440"/>
          </w:tcPr>
          <w:p>
            <w:r>
              <w:rPr>
                <w:rFonts w:ascii="Calibri" w:hAnsi="Calibri"/>
                <w:sz w:val="22"/>
              </w:rPr>
              <w:t>Jun 9, 2026</w:t>
            </w:r>
          </w:p>
        </w:tc>
        <w:tc>
          <w:tcPr>
            <w:tcW w:type="dxa" w:w="1440"/>
          </w:tcPr>
          <w:p>
            <w:r>
              <w:rPr>
                <w:rFonts w:ascii="Calibri" w:hAnsi="Calibri"/>
                <w:sz w:val="22"/>
              </w:rPr>
              <w:t>Annual director equity grant; routine compensation</w:t>
            </w:r>
          </w:p>
        </w:tc>
      </w:tr>
      <w:tr>
        <w:tc>
          <w:tcPr>
            <w:tcW w:type="dxa" w:w="1440"/>
          </w:tcPr>
          <w:p>
            <w:r>
              <w:rPr>
                <w:rFonts w:ascii="Calibri" w:hAnsi="Calibri"/>
                <w:sz w:val="22"/>
              </w:rPr>
              <w:t>Hawkins William A</w:t>
            </w:r>
          </w:p>
        </w:tc>
        <w:tc>
          <w:tcPr>
            <w:tcW w:type="dxa" w:w="1440"/>
          </w:tcPr>
          <w:p>
            <w:r>
              <w:rPr>
                <w:rFonts w:ascii="Calibri" w:hAnsi="Calibri"/>
                <w:sz w:val="22"/>
              </w:rPr>
              <w:t>Director</w:t>
            </w:r>
          </w:p>
        </w:tc>
        <w:tc>
          <w:tcPr>
            <w:tcW w:type="dxa" w:w="1440"/>
          </w:tcPr>
          <w:p>
            <w:r>
              <w:rPr>
                <w:rFonts w:ascii="Calibri" w:hAnsi="Calibri"/>
                <w:sz w:val="22"/>
              </w:rPr>
              <w:t>RSU Award (Compensation)</w:t>
            </w:r>
          </w:p>
        </w:tc>
        <w:tc>
          <w:tcPr>
            <w:tcW w:type="dxa" w:w="1440"/>
          </w:tcPr>
          <w:p>
            <w:r>
              <w:rPr>
                <w:rFonts w:ascii="Calibri" w:hAnsi="Calibri"/>
                <w:sz w:val="22"/>
              </w:rPr>
              <w:t>1,505 shares</w:t>
            </w:r>
          </w:p>
        </w:tc>
        <w:tc>
          <w:tcPr>
            <w:tcW w:type="dxa" w:w="1440"/>
          </w:tcPr>
          <w:p>
            <w:r>
              <w:rPr>
                <w:rFonts w:ascii="Calibri" w:hAnsi="Calibri"/>
                <w:sz w:val="22"/>
              </w:rPr>
              <w:t>Jun 9, 2026</w:t>
            </w:r>
          </w:p>
        </w:tc>
        <w:tc>
          <w:tcPr>
            <w:tcW w:type="dxa" w:w="1440"/>
          </w:tcPr>
          <w:p>
            <w:r>
              <w:rPr>
                <w:rFonts w:ascii="Calibri" w:hAnsi="Calibri"/>
                <w:sz w:val="22"/>
              </w:rPr>
              <w:t>Annual director equity grant; routine compensation</w:t>
            </w:r>
          </w:p>
        </w:tc>
      </w:tr>
      <w:tr>
        <w:tc>
          <w:tcPr>
            <w:tcW w:type="dxa" w:w="1440"/>
          </w:tcPr>
          <w:p>
            <w:r>
              <w:rPr>
                <w:rFonts w:ascii="Calibri" w:hAnsi="Calibri"/>
                <w:sz w:val="22"/>
              </w:rPr>
              <w:t>Langer Susan</w:t>
            </w:r>
          </w:p>
        </w:tc>
        <w:tc>
          <w:tcPr>
            <w:tcW w:type="dxa" w:w="1440"/>
          </w:tcPr>
          <w:p>
            <w:r>
              <w:rPr>
                <w:rFonts w:ascii="Calibri" w:hAnsi="Calibri"/>
                <w:sz w:val="22"/>
              </w:rPr>
              <w:t>Director</w:t>
            </w:r>
          </w:p>
        </w:tc>
        <w:tc>
          <w:tcPr>
            <w:tcW w:type="dxa" w:w="1440"/>
          </w:tcPr>
          <w:p>
            <w:r>
              <w:rPr>
                <w:rFonts w:ascii="Calibri" w:hAnsi="Calibri"/>
                <w:sz w:val="22"/>
              </w:rPr>
              <w:t>RSU Award (Compensation)</w:t>
            </w:r>
          </w:p>
        </w:tc>
        <w:tc>
          <w:tcPr>
            <w:tcW w:type="dxa" w:w="1440"/>
          </w:tcPr>
          <w:p>
            <w:r>
              <w:rPr>
                <w:rFonts w:ascii="Calibri" w:hAnsi="Calibri"/>
                <w:sz w:val="22"/>
              </w:rPr>
              <w:t>1,505 shares</w:t>
            </w:r>
          </w:p>
        </w:tc>
        <w:tc>
          <w:tcPr>
            <w:tcW w:type="dxa" w:w="1440"/>
          </w:tcPr>
          <w:p>
            <w:r>
              <w:rPr>
                <w:rFonts w:ascii="Calibri" w:hAnsi="Calibri"/>
                <w:sz w:val="22"/>
              </w:rPr>
              <w:t>Jun 9, 2026</w:t>
            </w:r>
          </w:p>
        </w:tc>
        <w:tc>
          <w:tcPr>
            <w:tcW w:type="dxa" w:w="1440"/>
          </w:tcPr>
          <w:p>
            <w:r>
              <w:rPr>
                <w:rFonts w:ascii="Calibri" w:hAnsi="Calibri"/>
                <w:sz w:val="22"/>
              </w:rPr>
              <w:t>Annual director equity grant; routine compensation</w:t>
            </w:r>
          </w:p>
        </w:tc>
      </w:tr>
      <w:tr>
        <w:tc>
          <w:tcPr>
            <w:tcW w:type="dxa" w:w="1440"/>
          </w:tcPr>
          <w:p>
            <w:r>
              <w:rPr>
                <w:rFonts w:ascii="Calibri" w:hAnsi="Calibri"/>
                <w:sz w:val="22"/>
              </w:rPr>
              <w:t>Mantas Jesus B</w:t>
            </w:r>
          </w:p>
        </w:tc>
        <w:tc>
          <w:tcPr>
            <w:tcW w:type="dxa" w:w="1440"/>
          </w:tcPr>
          <w:p>
            <w:r>
              <w:rPr>
                <w:rFonts w:ascii="Calibri" w:hAnsi="Calibri"/>
                <w:sz w:val="22"/>
              </w:rPr>
              <w:t>Director</w:t>
            </w:r>
          </w:p>
        </w:tc>
        <w:tc>
          <w:tcPr>
            <w:tcW w:type="dxa" w:w="1440"/>
          </w:tcPr>
          <w:p>
            <w:r>
              <w:rPr>
                <w:rFonts w:ascii="Calibri" w:hAnsi="Calibri"/>
                <w:sz w:val="22"/>
              </w:rPr>
              <w:t>RSU Award (Compensation)</w:t>
            </w:r>
          </w:p>
        </w:tc>
        <w:tc>
          <w:tcPr>
            <w:tcW w:type="dxa" w:w="1440"/>
          </w:tcPr>
          <w:p>
            <w:r>
              <w:rPr>
                <w:rFonts w:ascii="Calibri" w:hAnsi="Calibri"/>
                <w:sz w:val="22"/>
              </w:rPr>
              <w:t>1,505 shares</w:t>
            </w:r>
          </w:p>
        </w:tc>
        <w:tc>
          <w:tcPr>
            <w:tcW w:type="dxa" w:w="1440"/>
          </w:tcPr>
          <w:p>
            <w:r>
              <w:rPr>
                <w:rFonts w:ascii="Calibri" w:hAnsi="Calibri"/>
                <w:sz w:val="22"/>
              </w:rPr>
              <w:t>Jun 9, 2026</w:t>
            </w:r>
          </w:p>
        </w:tc>
        <w:tc>
          <w:tcPr>
            <w:tcW w:type="dxa" w:w="1440"/>
          </w:tcPr>
          <w:p>
            <w:r>
              <w:rPr>
                <w:rFonts w:ascii="Calibri" w:hAnsi="Calibri"/>
                <w:sz w:val="22"/>
              </w:rPr>
              <w:t>Annual director equity grant; routine compensation</w:t>
            </w:r>
          </w:p>
        </w:tc>
      </w:tr>
      <w:tr>
        <w:tc>
          <w:tcPr>
            <w:tcW w:type="dxa" w:w="1440"/>
          </w:tcPr>
          <w:p>
            <w:r>
              <w:rPr>
                <w:rFonts w:ascii="Calibri" w:hAnsi="Calibri"/>
                <w:sz w:val="22"/>
              </w:rPr>
              <w:t>Minor Lloyd</w:t>
            </w:r>
          </w:p>
        </w:tc>
        <w:tc>
          <w:tcPr>
            <w:tcW w:type="dxa" w:w="1440"/>
          </w:tcPr>
          <w:p>
            <w:r>
              <w:rPr>
                <w:rFonts w:ascii="Calibri" w:hAnsi="Calibri"/>
                <w:sz w:val="22"/>
              </w:rPr>
              <w:t>Director</w:t>
            </w:r>
          </w:p>
        </w:tc>
        <w:tc>
          <w:tcPr>
            <w:tcW w:type="dxa" w:w="1440"/>
          </w:tcPr>
          <w:p>
            <w:r>
              <w:rPr>
                <w:rFonts w:ascii="Calibri" w:hAnsi="Calibri"/>
                <w:sz w:val="22"/>
              </w:rPr>
              <w:t>RSU Award (Compensation)</w:t>
            </w:r>
          </w:p>
        </w:tc>
        <w:tc>
          <w:tcPr>
            <w:tcW w:type="dxa" w:w="1440"/>
          </w:tcPr>
          <w:p>
            <w:r>
              <w:rPr>
                <w:rFonts w:ascii="Calibri" w:hAnsi="Calibri"/>
                <w:sz w:val="22"/>
              </w:rPr>
              <w:t>1,505 shares</w:t>
            </w:r>
          </w:p>
        </w:tc>
        <w:tc>
          <w:tcPr>
            <w:tcW w:type="dxa" w:w="1440"/>
          </w:tcPr>
          <w:p>
            <w:r>
              <w:rPr>
                <w:rFonts w:ascii="Calibri" w:hAnsi="Calibri"/>
                <w:sz w:val="22"/>
              </w:rPr>
              <w:t>Jun 9, 2026</w:t>
            </w:r>
          </w:p>
        </w:tc>
        <w:tc>
          <w:tcPr>
            <w:tcW w:type="dxa" w:w="1440"/>
          </w:tcPr>
          <w:p>
            <w:r>
              <w:rPr>
                <w:rFonts w:ascii="Calibri" w:hAnsi="Calibri"/>
                <w:sz w:val="22"/>
              </w:rPr>
              <w:t>Annual director equity grant; routine compensation</w:t>
            </w:r>
          </w:p>
        </w:tc>
      </w:tr>
      <w:tr>
        <w:tc>
          <w:tcPr>
            <w:tcW w:type="dxa" w:w="1440"/>
          </w:tcPr>
          <w:p>
            <w:r>
              <w:rPr>
                <w:rFonts w:ascii="Calibri" w:hAnsi="Calibri"/>
                <w:sz w:val="22"/>
              </w:rPr>
              <w:t>Pangalos Menelas N</w:t>
            </w:r>
          </w:p>
        </w:tc>
        <w:tc>
          <w:tcPr>
            <w:tcW w:type="dxa" w:w="1440"/>
          </w:tcPr>
          <w:p>
            <w:r>
              <w:rPr>
                <w:rFonts w:ascii="Calibri" w:hAnsi="Calibri"/>
                <w:sz w:val="22"/>
              </w:rPr>
              <w:t>Director</w:t>
            </w:r>
          </w:p>
        </w:tc>
        <w:tc>
          <w:tcPr>
            <w:tcW w:type="dxa" w:w="1440"/>
          </w:tcPr>
          <w:p>
            <w:r>
              <w:rPr>
                <w:rFonts w:ascii="Calibri" w:hAnsi="Calibri"/>
                <w:sz w:val="22"/>
              </w:rPr>
              <w:t>RSU Award + RSU Vest (Compensation)</w:t>
            </w:r>
          </w:p>
        </w:tc>
        <w:tc>
          <w:tcPr>
            <w:tcW w:type="dxa" w:w="1440"/>
          </w:tcPr>
          <w:p>
            <w:r>
              <w:rPr>
                <w:rFonts w:ascii="Calibri" w:hAnsi="Calibri"/>
                <w:sz w:val="22"/>
              </w:rPr>
              <w:t>1,505 shares awarded; 2,370 RSU vested</w:t>
            </w:r>
          </w:p>
        </w:tc>
        <w:tc>
          <w:tcPr>
            <w:tcW w:type="dxa" w:w="1440"/>
          </w:tcPr>
          <w:p>
            <w:r>
              <w:rPr>
                <w:rFonts w:ascii="Calibri" w:hAnsi="Calibri"/>
                <w:sz w:val="22"/>
              </w:rPr>
              <w:t>Jun 9, 2026</w:t>
            </w:r>
          </w:p>
        </w:tc>
        <w:tc>
          <w:tcPr>
            <w:tcW w:type="dxa" w:w="1440"/>
          </w:tcPr>
          <w:p>
            <w:r>
              <w:rPr>
                <w:rFonts w:ascii="Calibri" w:hAnsi="Calibri"/>
                <w:sz w:val="22"/>
              </w:rPr>
              <w:t>Annual grant + RSU vesting; routine</w:t>
            </w:r>
          </w:p>
        </w:tc>
      </w:tr>
      <w:tr>
        <w:tc>
          <w:tcPr>
            <w:tcW w:type="dxa" w:w="1440"/>
          </w:tcPr>
          <w:p>
            <w:r>
              <w:rPr>
                <w:rFonts w:ascii="Calibri" w:hAnsi="Calibri"/>
                <w:sz w:val="22"/>
              </w:rPr>
              <w:t>Patolawala Monish D</w:t>
            </w:r>
          </w:p>
        </w:tc>
        <w:tc>
          <w:tcPr>
            <w:tcW w:type="dxa" w:w="1440"/>
          </w:tcPr>
          <w:p>
            <w:r>
              <w:rPr>
                <w:rFonts w:ascii="Calibri" w:hAnsi="Calibri"/>
                <w:sz w:val="22"/>
              </w:rPr>
              <w:t>Director</w:t>
            </w:r>
          </w:p>
        </w:tc>
        <w:tc>
          <w:tcPr>
            <w:tcW w:type="dxa" w:w="1440"/>
          </w:tcPr>
          <w:p>
            <w:r>
              <w:rPr>
                <w:rFonts w:ascii="Calibri" w:hAnsi="Calibri"/>
                <w:sz w:val="22"/>
              </w:rPr>
              <w:t>RSU Award (Compensation)</w:t>
            </w:r>
          </w:p>
        </w:tc>
        <w:tc>
          <w:tcPr>
            <w:tcW w:type="dxa" w:w="1440"/>
          </w:tcPr>
          <w:p>
            <w:r>
              <w:rPr>
                <w:rFonts w:ascii="Calibri" w:hAnsi="Calibri"/>
                <w:sz w:val="22"/>
              </w:rPr>
              <w:t>1,505 shares</w:t>
            </w:r>
          </w:p>
        </w:tc>
        <w:tc>
          <w:tcPr>
            <w:tcW w:type="dxa" w:w="1440"/>
          </w:tcPr>
          <w:p>
            <w:r>
              <w:rPr>
                <w:rFonts w:ascii="Calibri" w:hAnsi="Calibri"/>
                <w:sz w:val="22"/>
              </w:rPr>
              <w:t>Jun 9, 2026</w:t>
            </w:r>
          </w:p>
        </w:tc>
        <w:tc>
          <w:tcPr>
            <w:tcW w:type="dxa" w:w="1440"/>
          </w:tcPr>
          <w:p>
            <w:r>
              <w:rPr>
                <w:rFonts w:ascii="Calibri" w:hAnsi="Calibri"/>
                <w:sz w:val="22"/>
              </w:rPr>
              <w:t>Annual director equity grant; routine compensation</w:t>
            </w:r>
          </w:p>
        </w:tc>
      </w:tr>
      <w:tr>
        <w:tc>
          <w:tcPr>
            <w:tcW w:type="dxa" w:w="1440"/>
          </w:tcPr>
          <w:p>
            <w:r>
              <w:rPr>
                <w:rFonts w:ascii="Calibri" w:hAnsi="Calibri"/>
                <w:sz w:val="22"/>
              </w:rPr>
              <w:t>Rowinsky Eric K</w:t>
            </w:r>
          </w:p>
        </w:tc>
        <w:tc>
          <w:tcPr>
            <w:tcW w:type="dxa" w:w="1440"/>
          </w:tcPr>
          <w:p>
            <w:r>
              <w:rPr>
                <w:rFonts w:ascii="Calibri" w:hAnsi="Calibri"/>
                <w:sz w:val="22"/>
              </w:rPr>
              <w:t>Director</w:t>
            </w:r>
          </w:p>
        </w:tc>
        <w:tc>
          <w:tcPr>
            <w:tcW w:type="dxa" w:w="1440"/>
          </w:tcPr>
          <w:p>
            <w:r>
              <w:rPr>
                <w:rFonts w:ascii="Calibri" w:hAnsi="Calibri"/>
                <w:sz w:val="22"/>
              </w:rPr>
              <w:t>RSU Award (Compensation)</w:t>
            </w:r>
          </w:p>
        </w:tc>
        <w:tc>
          <w:tcPr>
            <w:tcW w:type="dxa" w:w="1440"/>
          </w:tcPr>
          <w:p>
            <w:r>
              <w:rPr>
                <w:rFonts w:ascii="Calibri" w:hAnsi="Calibri"/>
                <w:sz w:val="22"/>
              </w:rPr>
              <w:t>1,505 shares</w:t>
            </w:r>
          </w:p>
        </w:tc>
        <w:tc>
          <w:tcPr>
            <w:tcW w:type="dxa" w:w="1440"/>
          </w:tcPr>
          <w:p>
            <w:r>
              <w:rPr>
                <w:rFonts w:ascii="Calibri" w:hAnsi="Calibri"/>
                <w:sz w:val="22"/>
              </w:rPr>
              <w:t>Jun 9, 2026</w:t>
            </w:r>
          </w:p>
        </w:tc>
        <w:tc>
          <w:tcPr>
            <w:tcW w:type="dxa" w:w="1440"/>
          </w:tcPr>
          <w:p>
            <w:r>
              <w:rPr>
                <w:rFonts w:ascii="Calibri" w:hAnsi="Calibri"/>
                <w:sz w:val="22"/>
              </w:rPr>
              <w:t>Annual director equity grant; routine compensation</w:t>
            </w:r>
          </w:p>
        </w:tc>
      </w:tr>
      <w:tr>
        <w:tc>
          <w:tcPr>
            <w:tcW w:type="dxa" w:w="1440"/>
          </w:tcPr>
          <w:p>
            <w:r>
              <w:rPr>
                <w:rFonts w:ascii="Calibri" w:hAnsi="Calibri"/>
                <w:sz w:val="22"/>
              </w:rPr>
              <w:t>Sherwin Stephen A</w:t>
            </w:r>
          </w:p>
        </w:tc>
        <w:tc>
          <w:tcPr>
            <w:tcW w:type="dxa" w:w="1440"/>
          </w:tcPr>
          <w:p>
            <w:r>
              <w:rPr>
                <w:rFonts w:ascii="Calibri" w:hAnsi="Calibri"/>
                <w:sz w:val="22"/>
              </w:rPr>
              <w:t>Director</w:t>
            </w:r>
          </w:p>
        </w:tc>
        <w:tc>
          <w:tcPr>
            <w:tcW w:type="dxa" w:w="1440"/>
          </w:tcPr>
          <w:p>
            <w:r>
              <w:rPr>
                <w:rFonts w:ascii="Calibri" w:hAnsi="Calibri"/>
                <w:sz w:val="22"/>
              </w:rPr>
              <w:t>RSU Award (Compensation)</w:t>
            </w:r>
          </w:p>
        </w:tc>
        <w:tc>
          <w:tcPr>
            <w:tcW w:type="dxa" w:w="1440"/>
          </w:tcPr>
          <w:p>
            <w:r>
              <w:rPr>
                <w:rFonts w:ascii="Calibri" w:hAnsi="Calibri"/>
                <w:sz w:val="22"/>
              </w:rPr>
              <w:t>1,505 shares</w:t>
            </w:r>
          </w:p>
        </w:tc>
        <w:tc>
          <w:tcPr>
            <w:tcW w:type="dxa" w:w="1440"/>
          </w:tcPr>
          <w:p>
            <w:r>
              <w:rPr>
                <w:rFonts w:ascii="Calibri" w:hAnsi="Calibri"/>
                <w:sz w:val="22"/>
              </w:rPr>
              <w:t>Jun 9, 2026</w:t>
            </w:r>
          </w:p>
        </w:tc>
        <w:tc>
          <w:tcPr>
            <w:tcW w:type="dxa" w:w="1440"/>
          </w:tcPr>
          <w:p>
            <w:r>
              <w:rPr>
                <w:rFonts w:ascii="Calibri" w:hAnsi="Calibri"/>
                <w:sz w:val="22"/>
              </w:rPr>
              <w:t>Annual director equity grant; routine compensation</w:t>
            </w:r>
          </w:p>
        </w:tc>
      </w:tr>
      <w:tr>
        <w:tc>
          <w:tcPr>
            <w:tcW w:type="dxa" w:w="1440"/>
          </w:tcPr>
          <w:p>
            <w:r>
              <w:rPr>
                <w:rFonts w:ascii="Calibri" w:hAnsi="Calibri"/>
                <w:sz w:val="22"/>
              </w:rPr>
              <w:t>Keeney Adam</w:t>
            </w:r>
          </w:p>
        </w:tc>
        <w:tc>
          <w:tcPr>
            <w:tcW w:type="dxa" w:w="1440"/>
          </w:tcPr>
          <w:p>
            <w:r>
              <w:rPr>
                <w:rFonts w:ascii="Calibri" w:hAnsi="Calibri"/>
                <w:sz w:val="22"/>
              </w:rPr>
              <w:t>Head of Corporate Development</w:t>
            </w:r>
          </w:p>
        </w:tc>
        <w:tc>
          <w:tcPr>
            <w:tcW w:type="dxa" w:w="1440"/>
          </w:tcPr>
          <w:p>
            <w:r>
              <w:rPr>
                <w:rFonts w:ascii="Calibri" w:hAnsi="Calibri"/>
                <w:sz w:val="22"/>
              </w:rPr>
              <w:t>RSU Vest + Tax Withholding Sale</w:t>
            </w:r>
          </w:p>
        </w:tc>
        <w:tc>
          <w:tcPr>
            <w:tcW w:type="dxa" w:w="1440"/>
          </w:tcPr>
          <w:p>
            <w:r>
              <w:rPr>
                <w:rFonts w:ascii="Calibri" w:hAnsi="Calibri"/>
                <w:sz w:val="22"/>
              </w:rPr>
              <w:t>939 shares vested; 455 shares sold (tax withholding)</w:t>
            </w:r>
          </w:p>
        </w:tc>
        <w:tc>
          <w:tcPr>
            <w:tcW w:type="dxa" w:w="1440"/>
          </w:tcPr>
          <w:p>
            <w:r>
              <w:rPr>
                <w:rFonts w:ascii="Calibri" w:hAnsi="Calibri"/>
                <w:sz w:val="22"/>
              </w:rPr>
              <w:t>May 1, 2026</w:t>
            </w:r>
          </w:p>
        </w:tc>
        <w:tc>
          <w:tcPr>
            <w:tcW w:type="dxa" w:w="1440"/>
          </w:tcPr>
          <w:p>
            <w:r>
              <w:rPr>
                <w:rFonts w:ascii="Calibri" w:hAnsi="Calibri"/>
                <w:sz w:val="22"/>
              </w:rPr>
              <w:t>RSU vesting with tax withholding sale; not a discretionary open-market sale</w:t>
            </w:r>
          </w:p>
        </w:tc>
      </w:tr>
    </w:tbl>
    <w:p>
      <w:r>
        <w:rPr>
          <w:rFonts w:ascii="Calibri" w:hAnsi="Calibri"/>
          <w:b/>
          <w:color w:val="525866"/>
          <w:sz w:val="22"/>
        </w:rPr>
        <w:t xml:space="preserve">Note: </w:t>
      </w:r>
      <w:r>
        <w:rPr>
          <w:rFonts w:ascii="Calibri" w:hAnsi="Calibri"/>
          <w:color w:val="525866"/>
          <w:sz w:val="22"/>
        </w:rPr>
        <w:t>All transactions are Form 4 filings (disclosure dates: June 11, 2026 for director grants; May 5, 2026 for Keeney). No open-market buys or discretionary sells were filed in the period. The absence of insider buying is neutral given the stock’s recent appreciation.</w:t>
      </w:r>
    </w:p>
    <w:p>
      <w:r>
        <w:br w:type="page"/>
      </w:r>
    </w:p>
    <w:p>
      <w:pPr>
        <w:pStyle w:val="Heading2"/>
      </w:pPr>
      <w:r>
        <w:rPr>
          <w:rFonts w:ascii="Calibri" w:hAnsi="Calibri"/>
          <w:b/>
          <w:color w:val="3B4259"/>
          <w:sz w:val="28"/>
        </w:rPr>
        <w:t>8. Peer Commentaries — Read-Through for Q2 2026</w:t>
      </w:r>
    </w:p>
    <w:p>
      <w:r>
        <w:rPr>
          <w:rFonts w:ascii="Calibri" w:hAnsi="Calibri"/>
          <w:b/>
          <w:color w:val="525866"/>
          <w:sz w:val="22"/>
        </w:rPr>
        <w:t xml:space="preserve">Key Takeaway: </w:t>
      </w:r>
      <w:r>
        <w:rPr>
          <w:rFonts w:ascii="Calibri" w:hAnsi="Calibri"/>
          <w:color w:val="525866"/>
          <w:sz w:val="22"/>
        </w:rPr>
        <w:t xml:space="preserve">Eisai’s bullish LEQEMBI trajectory (63% FY2026 growth target, IQLIK in 600+ facilities) is the most important positive read-through. AstraZeneca’s Saphnelo growth validates the SLE market opportunity ahead of litifilimab’s Phase 3 readout. </w:t>
      </w:r>
      <w:r>
        <w:rPr>
          <w:rFonts w:ascii="Calibri" w:hAnsi="Calibri"/>
          <w:b/>
          <w:color w:val="525866"/>
          <w:sz w:val="22"/>
        </w:rPr>
        <w:t>Novartis’s BTK commentary signals competitive pressure on BIIB091.</w:t>
      </w:r>
    </w:p>
    <w:p>
      <w:r>
        <w:rPr>
          <w:rFonts w:ascii="Calibri" w:hAnsi="Calibri"/>
          <w:i/>
          <w:color w:val="525866"/>
          <w:sz w:val="22"/>
        </w:rPr>
        <w:t>This section covers peer commentary from the last 60 days (May–July 2026) relevant to Biogen’s current reporting quarter (Q2 2026) or forward outlook. Commentary about prior-quarter results only (without forward-looking color) is excluded.</w:t>
      </w:r>
    </w:p>
    <w:p>
      <w:pPr>
        <w:pStyle w:val="Heading3"/>
      </w:pPr>
      <w:r>
        <w:rPr>
          <w:rFonts w:ascii="Calibri" w:hAnsi="Calibri"/>
          <w:b/>
          <w:color w:val="3B4259"/>
          <w:sz w:val="24"/>
        </w:rPr>
        <w:t>A. LEQEMBI / Alzheimer’s Market — Eisai Q4 FY2025 Earnings (May 15, 2026) + Investor Day (May 25–26, 2026)</w:t>
      </w:r>
    </w:p>
    <w:p>
      <w:r>
        <w:rPr>
          <w:rFonts w:ascii="Calibri" w:hAnsi="Calibri"/>
          <w:color w:val="525866"/>
          <w:sz w:val="22"/>
        </w:rPr>
        <w:t>Eisai (BIIB’s 50/50 LEQEMBI partner) provided the most directly relevant read-through for Biogen’s Q2 and forward outlook.</w:t>
      </w:r>
    </w:p>
    <w:p>
      <w:pPr>
        <w:pStyle w:val="ListBullet"/>
        <w:ind w:left="360" w:hanging="360"/>
      </w:pPr>
      <w:r>
        <w:rPr>
          <w:rFonts w:ascii="Calibri" w:hAnsi="Calibri"/>
          <w:color w:val="525866"/>
          <w:sz w:val="22"/>
        </w:rPr>
        <w:t xml:space="preserve">FY2026 LEQEMBI revenue target: JPY 143.5B (~$1B), representing </w:t>
      </w:r>
      <w:r>
        <w:rPr>
          <w:rFonts w:ascii="Calibri" w:hAnsi="Calibri"/>
          <w:b/>
          <w:color w:val="525866"/>
          <w:sz w:val="22"/>
        </w:rPr>
        <w:t>63% YoY growth</w:t>
      </w:r>
      <w:r>
        <w:rPr>
          <w:rFonts w:ascii="Calibri" w:hAnsi="Calibri"/>
          <w:color w:val="525866"/>
          <w:sz w:val="22"/>
        </w:rPr>
        <w:t>. This implies continued strong sequential growth through Q2 and beyond.</w:t>
      </w:r>
    </w:p>
    <w:p>
      <w:pPr>
        <w:pStyle w:val="ListBullet"/>
        <w:ind w:left="360" w:hanging="360"/>
      </w:pPr>
      <w:r>
        <w:rPr>
          <w:rFonts w:ascii="Calibri" w:hAnsi="Calibri"/>
          <w:color w:val="525866"/>
          <w:sz w:val="22"/>
        </w:rPr>
        <w:t>IQLIK maintenance already in ~600 facilities with ~85% insurance coverage under MAP. IQLIK initiation approval (received post-Q1) expected to “immediately” accelerate growth upon launch.</w:t>
      </w:r>
    </w:p>
    <w:p>
      <w:pPr>
        <w:pStyle w:val="ListBullet"/>
        <w:ind w:left="360" w:hanging="360"/>
      </w:pPr>
      <w:r>
        <w:rPr>
          <w:rFonts w:ascii="Calibri" w:hAnsi="Calibri"/>
          <w:color w:val="525866"/>
          <w:sz w:val="22"/>
        </w:rPr>
        <w:t>Blood-based biomarker (BBM) adoption has doubled in 2 years; CMS now covers BBM for confirmatory diagnosis. Eisai estimates &gt;50% of Abeta confirmatory diagnoses will use BBM by FY2028.</w:t>
      </w:r>
    </w:p>
    <w:p>
      <w:pPr>
        <w:pStyle w:val="ListBullet"/>
        <w:ind w:left="360" w:hanging="360"/>
      </w:pPr>
      <w:r>
        <w:rPr>
          <w:rFonts w:ascii="Calibri" w:hAnsi="Calibri"/>
          <w:color w:val="525866"/>
          <w:sz w:val="22"/>
        </w:rPr>
        <w:t xml:space="preserve">Real-world persistence: ~80% of US patients continuing LEQEMBI at 18 months; ~84% in Japan at 18 months. </w:t>
      </w:r>
      <w:r>
        <w:rPr>
          <w:rFonts w:ascii="Calibri" w:hAnsi="Calibri"/>
          <w:b/>
          <w:color w:val="525866"/>
          <w:sz w:val="22"/>
        </w:rPr>
        <w:t>AAT market grew 1.8x in one year — “full scale growth has started.”</w:t>
      </w:r>
    </w:p>
    <w:p>
      <w:pPr>
        <w:pStyle w:val="ListBullet"/>
        <w:ind w:left="360" w:hanging="360"/>
      </w:pPr>
      <w:r>
        <w:rPr>
          <w:rFonts w:ascii="Calibri" w:hAnsi="Calibri"/>
          <w:color w:val="525866"/>
          <w:sz w:val="22"/>
        </w:rPr>
        <w:t>Eisai developed a “more conservative plan” for FY2026 due to European reimbursement uncertainty, but remains confident in the US and Japan trajectory.</w:t>
      </w:r>
    </w:p>
    <w:p>
      <w:pPr>
        <w:pStyle w:val="ListBullet"/>
        <w:ind w:left="360" w:hanging="360"/>
      </w:pPr>
      <w:r>
        <w:rPr>
          <w:rFonts w:ascii="Calibri" w:hAnsi="Calibri"/>
          <w:b/>
          <w:color w:val="525866"/>
          <w:sz w:val="22"/>
        </w:rPr>
        <w:t>Implication for BIIB Q2:</w:t>
      </w:r>
      <w:r>
        <w:rPr>
          <w:rFonts w:ascii="Calibri" w:hAnsi="Calibri"/>
          <w:color w:val="525866"/>
          <w:sz w:val="22"/>
        </w:rPr>
        <w:t xml:space="preserve"> Eisai’s bullish commentary suggests LEQEMBI end-market revenue should continue sequential growth in Q2. Biogen’s revenue share consensus (~$51.8M) may be conservative given Eisai’s 63% FY growth target. The IQLIK initiation approval is a structural positive for 2027 acceleration.</w:t>
      </w:r>
    </w:p>
    <w:p>
      <w:pPr>
        <w:pStyle w:val="Heading3"/>
      </w:pPr>
      <w:r>
        <w:rPr>
          <w:rFonts w:ascii="Calibri" w:hAnsi="Calibri"/>
          <w:b/>
          <w:color w:val="3B4259"/>
          <w:sz w:val="24"/>
        </w:rPr>
        <w:t>B. Alzheimer’s Pipeline — Roche Q2 2026 Earnings (July 23, 2026)</w:t>
      </w:r>
    </w:p>
    <w:p>
      <w:r>
        <w:rPr>
          <w:rFonts w:ascii="Calibri" w:hAnsi="Calibri"/>
          <w:color w:val="525866"/>
          <w:sz w:val="22"/>
        </w:rPr>
        <w:t>Roche provided commentary on the competitive Alzheimer’s landscape at AAIC and on its MS franchise.</w:t>
      </w:r>
    </w:p>
    <w:p>
      <w:pPr>
        <w:pStyle w:val="ListBullet"/>
        <w:ind w:left="360" w:hanging="360"/>
      </w:pPr>
      <w:r>
        <w:rPr>
          <w:rFonts w:ascii="Calibri" w:hAnsi="Calibri"/>
          <w:color w:val="525866"/>
          <w:sz w:val="22"/>
        </w:rPr>
        <w:t>Roche presented positive long-term Phase 1/2 data for its brain shuttle anti-amyloid antibody (next-gen gantenerumab/“trontinemab”) at AAIC, showing “impressive amyloid clearance, speed and depth” and a “strong safety profile.” Phase 3 in preclinical AD prevention is enrolling.</w:t>
      </w:r>
    </w:p>
    <w:p>
      <w:pPr>
        <w:pStyle w:val="ListBullet"/>
        <w:ind w:left="360" w:hanging="360"/>
      </w:pPr>
      <w:r>
        <w:rPr>
          <w:rFonts w:ascii="Calibri" w:hAnsi="Calibri"/>
          <w:color w:val="525866"/>
          <w:sz w:val="22"/>
        </w:rPr>
        <w:t>Roche’s Alexis pTau 217 blood-based biomarker test is now available as “the first blood-based biomarker intended to rule in or rule out Alzheimer’s in primary and secondary care settings” — a positive read-through for the overall diagnostic ecosystem that benefits LEQEMBI market expansion.</w:t>
      </w:r>
    </w:p>
    <w:p>
      <w:pPr>
        <w:pStyle w:val="ListBullet"/>
        <w:ind w:left="360" w:hanging="360"/>
      </w:pPr>
      <w:r>
        <w:rPr>
          <w:rFonts w:ascii="Calibri" w:hAnsi="Calibri"/>
          <w:color w:val="525866"/>
          <w:sz w:val="22"/>
        </w:rPr>
        <w:t>Roche’s Ocrevus franchise grew 9% in Q2 2026 at constant exchange rates, with the subcutaneous formulation (Ocrevus Subcut/“Novo”) now the fastest-growing anti-CD20 MS brand in the US. Roche noted “higher competitive dynamics” in the anti-CD20 space and revised its full-year Ocrevus growth outlook to the lower end of the high-single-digit to low-double-digit range.</w:t>
      </w:r>
    </w:p>
    <w:p>
      <w:pPr>
        <w:pStyle w:val="ListBullet"/>
        <w:ind w:left="360" w:hanging="360"/>
      </w:pPr>
      <w:r>
        <w:rPr>
          <w:rFonts w:ascii="Calibri" w:hAnsi="Calibri"/>
          <w:b/>
          <w:color w:val="525866"/>
          <w:sz w:val="22"/>
        </w:rPr>
        <w:t>Implication for BIIB:</w:t>
      </w:r>
      <w:r>
        <w:rPr>
          <w:rFonts w:ascii="Calibri" w:hAnsi="Calibri"/>
          <w:color w:val="525866"/>
          <w:sz w:val="22"/>
        </w:rPr>
        <w:t xml:space="preserve"> Roche’s next-gen amyloid antibody is still in Phase 1/2 and not an immediate competitive threat to LEQEMBI. The blood-based biomarker ecosystem expansion is a net positive for LEQEMBI market access. Ocrevus’s competitive dynamics are a modest headwind for BIIB’s TYSABRI franchise.</w:t>
      </w:r>
    </w:p>
    <w:p>
      <w:pPr>
        <w:pStyle w:val="Heading3"/>
      </w:pPr>
      <w:r>
        <w:rPr>
          <w:rFonts w:ascii="Calibri" w:hAnsi="Calibri"/>
          <w:b/>
          <w:color w:val="3B4259"/>
          <w:sz w:val="24"/>
        </w:rPr>
        <w:t>C. SLE / Lupus Market — AstraZeneca Q2 2026 Earnings (July 27, 2026)</w:t>
      </w:r>
    </w:p>
    <w:p>
      <w:r>
        <w:rPr>
          <w:rFonts w:ascii="Calibri" w:hAnsi="Calibri"/>
          <w:color w:val="525866"/>
          <w:sz w:val="22"/>
        </w:rPr>
        <w:t>AstraZeneca reported Saphnelo (anifrolumab, type I interferon receptor antagonist) revenue up 24% to $209M in Q2 2026.</w:t>
      </w:r>
    </w:p>
    <w:p>
      <w:pPr>
        <w:pStyle w:val="ListBullet"/>
        <w:ind w:left="360" w:hanging="360"/>
      </w:pPr>
      <w:r>
        <w:rPr>
          <w:rFonts w:ascii="Calibri" w:hAnsi="Calibri"/>
          <w:color w:val="525866"/>
          <w:sz w:val="22"/>
        </w:rPr>
        <w:t>Growth driven by share gains in the IV SLE segment and a new subcutaneous formulation now available in the US and some European markets.</w:t>
      </w:r>
    </w:p>
    <w:p>
      <w:pPr>
        <w:pStyle w:val="ListBullet"/>
        <w:ind w:left="360" w:hanging="360"/>
      </w:pPr>
      <w:r>
        <w:rPr>
          <w:rFonts w:ascii="Calibri" w:hAnsi="Calibri"/>
          <w:color w:val="525866"/>
          <w:sz w:val="22"/>
        </w:rPr>
        <w:t>The subcutaneous formulation is expected to “broaden Saphnelo’s reach to patients who prefer self-administration” — validating the convenience differentiation thesis.</w:t>
      </w:r>
    </w:p>
    <w:p>
      <w:pPr>
        <w:pStyle w:val="ListBullet"/>
        <w:ind w:left="360" w:hanging="360"/>
      </w:pPr>
      <w:r>
        <w:rPr>
          <w:rFonts w:ascii="Calibri" w:hAnsi="Calibri"/>
          <w:b/>
          <w:color w:val="525866"/>
          <w:sz w:val="22"/>
        </w:rPr>
        <w:t>Implication for BIIB:</w:t>
      </w:r>
      <w:r>
        <w:rPr>
          <w:rFonts w:ascii="Calibri" w:hAnsi="Calibri"/>
          <w:color w:val="525866"/>
          <w:sz w:val="22"/>
        </w:rPr>
        <w:t xml:space="preserve"> Saphnelo’s continued strong growth validates the SLE market opportunity. Biogen’s litifilimab (pDC-targeting, monthly subcutaneous) targets a similar patient population with a differentiated mechanism. The Phase 3 TOPAZ-1 readout (H2 2026) is a binary catalyst. AstraZeneca’s subcutaneous launch also validates the convenience differentiation thesis that Biogen is pursuing with litifilimab’s monthly home administration.</w:t>
      </w:r>
    </w:p>
    <w:p>
      <w:pPr>
        <w:pStyle w:val="Heading3"/>
      </w:pPr>
      <w:r>
        <w:rPr>
          <w:rFonts w:ascii="Calibri" w:hAnsi="Calibri"/>
          <w:b/>
          <w:color w:val="3B4259"/>
          <w:sz w:val="24"/>
        </w:rPr>
        <w:t>D. BTK Inhibitors in MS — Novartis Q2 2026 Earnings (July 21, 2026)</w:t>
      </w:r>
    </w:p>
    <w:p>
      <w:r>
        <w:rPr>
          <w:rFonts w:ascii="Calibri" w:hAnsi="Calibri"/>
          <w:color w:val="525866"/>
          <w:sz w:val="22"/>
        </w:rPr>
        <w:t>Novartis provided commentary on its BTK inhibitor remibrutinib in MS and on the broader MS competitive landscape.</w:t>
      </w:r>
    </w:p>
    <w:p>
      <w:pPr>
        <w:pStyle w:val="ListBullet"/>
        <w:ind w:left="360" w:hanging="360"/>
      </w:pPr>
      <w:r>
        <w:rPr>
          <w:rFonts w:ascii="Calibri" w:hAnsi="Calibri"/>
          <w:color w:val="525866"/>
          <w:sz w:val="22"/>
        </w:rPr>
        <w:t>Novartis stated confidence in remibrutinib’s Phase 3 study based on “other BTK inhibitors’ performance in similar studies” — an implicit reference to fenebrutinib (Biogen’s BIIB091 partner Roche) and potentially BIIB091.</w:t>
      </w:r>
    </w:p>
    <w:p>
      <w:pPr>
        <w:pStyle w:val="ListBullet"/>
        <w:ind w:left="360" w:hanging="360"/>
      </w:pPr>
      <w:r>
        <w:rPr>
          <w:rFonts w:ascii="Calibri" w:hAnsi="Calibri"/>
          <w:color w:val="525866"/>
          <w:sz w:val="22"/>
        </w:rPr>
        <w:t>Novartis believes remibrutinib is “</w:t>
      </w:r>
      <w:r>
        <w:rPr>
          <w:rFonts w:ascii="Calibri" w:hAnsi="Calibri"/>
          <w:b/>
          <w:color w:val="525866"/>
          <w:sz w:val="22"/>
        </w:rPr>
        <w:t>more potent on the target and more selective</w:t>
      </w:r>
      <w:r>
        <w:rPr>
          <w:rFonts w:ascii="Calibri" w:hAnsi="Calibri"/>
          <w:color w:val="525866"/>
          <w:sz w:val="22"/>
        </w:rPr>
        <w:t>” than fenebrutinib, and hopes this leads to “improvements in disability progression that would bring us in line with the antibody-based B cell therapies.”</w:t>
      </w:r>
    </w:p>
    <w:p>
      <w:pPr>
        <w:pStyle w:val="ListBullet"/>
        <w:ind w:left="360" w:hanging="360"/>
      </w:pPr>
      <w:r>
        <w:rPr>
          <w:rFonts w:ascii="Calibri" w:hAnsi="Calibri"/>
          <w:color w:val="525866"/>
          <w:sz w:val="22"/>
        </w:rPr>
        <w:t xml:space="preserve">Novartis’s Kesimpta (anti-CD20) grew </w:t>
      </w:r>
      <w:r>
        <w:rPr>
          <w:rFonts w:ascii="Calibri" w:hAnsi="Calibri"/>
          <w:b/>
          <w:color w:val="525866"/>
          <w:sz w:val="22"/>
        </w:rPr>
        <w:t>32% in Q2 2026</w:t>
      </w:r>
      <w:r>
        <w:rPr>
          <w:rFonts w:ascii="Calibri" w:hAnsi="Calibri"/>
          <w:color w:val="525866"/>
          <w:sz w:val="22"/>
        </w:rPr>
        <w:t>, continuing to gain share in the MS market. Two-thirds of MS patients remain on older therapies — a large conversion opportunity that is a headwind for BIIB’s legacy MS franchise.</w:t>
      </w:r>
    </w:p>
    <w:p>
      <w:pPr>
        <w:pStyle w:val="ListBullet"/>
        <w:ind w:left="360" w:hanging="360"/>
      </w:pPr>
      <w:r>
        <w:rPr>
          <w:rFonts w:ascii="Calibri" w:hAnsi="Calibri"/>
          <w:b/>
          <w:color w:val="525866"/>
          <w:sz w:val="22"/>
        </w:rPr>
        <w:t>Implication for BIIB:</w:t>
      </w:r>
      <w:r>
        <w:rPr>
          <w:rFonts w:ascii="Calibri" w:hAnsi="Calibri"/>
          <w:color w:val="525866"/>
          <w:sz w:val="22"/>
        </w:rPr>
        <w:t xml:space="preserve"> Competitive pressure on BIIB091 from a well-resourced competitor (Novartis remibrutinib). However, BIIB091’s Phase 2 FUSION data readout (midyear 2026) will be the key determinant of the program’s viability. Kesimpta’s strong growth signals continued MS market dynamism, which is a headwind for BIIB’s legacy MS franchise (TYSABRI, VUMERITY) but validates the overall category.</w:t>
      </w:r>
    </w:p>
    <w:p>
      <w:pPr>
        <w:pStyle w:val="Heading3"/>
      </w:pPr>
      <w:r>
        <w:rPr>
          <w:rFonts w:ascii="Calibri" w:hAnsi="Calibri"/>
          <w:b/>
          <w:color w:val="3B4259"/>
          <w:sz w:val="24"/>
        </w:rPr>
        <w:t>E. SMA / Neurology Pipeline — Ionis Goldman Sachs Conference (June 10, 2026)</w:t>
      </w:r>
    </w:p>
    <w:p>
      <w:r>
        <w:rPr>
          <w:rFonts w:ascii="Calibri" w:hAnsi="Calibri"/>
          <w:color w:val="525866"/>
          <w:sz w:val="22"/>
        </w:rPr>
        <w:t>Ionis (BIIB’s partner on BIIB080/diranersen and salanersen/zilganersen) provided forward-looking commentary on two key Biogen pipeline assets.</w:t>
      </w:r>
    </w:p>
    <w:p>
      <w:pPr>
        <w:pStyle w:val="ListBullet"/>
        <w:ind w:left="360" w:hanging="360"/>
      </w:pPr>
      <w:r>
        <w:rPr>
          <w:rFonts w:ascii="Calibri" w:hAnsi="Calibri"/>
          <w:b/>
          <w:color w:val="525866"/>
          <w:sz w:val="22"/>
        </w:rPr>
        <w:t>On BIIB080 (diranersen):</w:t>
      </w:r>
      <w:r>
        <w:rPr>
          <w:rFonts w:ascii="Calibri" w:hAnsi="Calibri"/>
          <w:color w:val="525866"/>
          <w:sz w:val="22"/>
        </w:rPr>
        <w:t xml:space="preserve"> Ionis expressed confidence ahead of AAIC, anticipating “</w:t>
      </w:r>
      <w:r>
        <w:rPr>
          <w:rFonts w:ascii="Calibri" w:hAnsi="Calibri"/>
          <w:b/>
          <w:color w:val="525866"/>
          <w:sz w:val="22"/>
        </w:rPr>
        <w:t>unprecedented improvements in cognition</w:t>
      </w:r>
      <w:r>
        <w:rPr>
          <w:rFonts w:ascii="Calibri" w:hAnsi="Calibri"/>
          <w:color w:val="525866"/>
          <w:sz w:val="22"/>
        </w:rPr>
        <w:t>” from the tau program. Ionis described the economics as “SPINRAZA-like low-to-mid-teens royalties and a few hundred million dollars in development and commercial milestones.”</w:t>
      </w:r>
    </w:p>
    <w:p>
      <w:pPr>
        <w:pStyle w:val="ListBullet"/>
        <w:ind w:left="360" w:hanging="360"/>
      </w:pPr>
      <w:r>
        <w:rPr>
          <w:rFonts w:ascii="Calibri" w:hAnsi="Calibri"/>
          <w:b/>
          <w:color w:val="525866"/>
          <w:sz w:val="22"/>
        </w:rPr>
        <w:t>On salanersen (zilganersen/BIIB115):</w:t>
      </w:r>
      <w:r>
        <w:rPr>
          <w:rFonts w:ascii="Calibri" w:hAnsi="Calibri"/>
          <w:color w:val="525866"/>
          <w:sz w:val="22"/>
        </w:rPr>
        <w:t xml:space="preserve"> Ionis described it as a “follow-on to SPINRAZA with once-per-year intrathecal dosing and even greater efficacy.” Ionis is also launching zilganersen independently for Alexander disease in September 2026 — its first wholly-owned neurology launch.</w:t>
      </w:r>
    </w:p>
    <w:p>
      <w:pPr>
        <w:pStyle w:val="ListBullet"/>
        <w:ind w:left="360" w:hanging="360"/>
      </w:pPr>
      <w:r>
        <w:rPr>
          <w:rFonts w:ascii="Calibri" w:hAnsi="Calibri"/>
          <w:b/>
          <w:color w:val="525866"/>
          <w:sz w:val="22"/>
        </w:rPr>
        <w:t>Implication for BIIB:</w:t>
      </w:r>
      <w:r>
        <w:rPr>
          <w:rFonts w:ascii="Calibri" w:hAnsi="Calibri"/>
          <w:color w:val="525866"/>
          <w:sz w:val="22"/>
        </w:rPr>
        <w:t xml:space="preserve"> Partner confidence in two key pipeline assets. Salanersen’s Phase 3 initiation (STELLAR-1 already screening, STELLAR-2 and SOLAR initiating Q2–Q3 2026) is a positive signal for SPINRAZA franchise durability. Ionis’s independent neurology ambitions (7 wholly-owned neurology drugs in pipeline) could create future competitive dynamics but are not near-term threats to BIIB’s partnership economics.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