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Biogen Inc. (BIIB)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Biogen Inc. (BIIB)</w:t>
            </w:r>
          </w:p>
        </w:tc>
      </w:tr>
      <w:tr>
        <w:tc>
          <w:tcPr>
            <w:tcW w:type="dxa" w:w="4320"/>
          </w:tcPr>
          <w:p>
            <w:r>
              <w:rPr>
                <w:rFonts w:ascii="Calibri" w:hAnsi="Calibri"/>
                <w:b/>
                <w:sz w:val="22"/>
              </w:rPr>
              <w:t>Earnings Date</w:t>
            </w:r>
          </w:p>
        </w:tc>
        <w:tc>
          <w:tcPr>
            <w:tcW w:type="dxa" w:w="4320"/>
          </w:tcPr>
          <w:p>
            <w:r>
              <w:rPr>
                <w:rFonts w:ascii="Calibri" w:hAnsi="Calibri"/>
                <w:sz w:val="22"/>
              </w:rPr>
              <w:t>July 29, 2026 —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r>
        <w:tc>
          <w:tcPr>
            <w:tcW w:type="dxa" w:w="4320"/>
          </w:tcPr>
          <w:p>
            <w:r>
              <w:rPr>
                <w:rFonts w:ascii="Calibri" w:hAnsi="Calibri"/>
                <w:b/>
                <w:sz w:val="22"/>
              </w:rPr>
              <w:t>Sector ETF Benchmark</w:t>
            </w:r>
          </w:p>
        </w:tc>
        <w:tc>
          <w:tcPr>
            <w:tcW w:type="dxa" w:w="4320"/>
          </w:tcPr>
          <w:p>
            <w:r>
              <w:rPr>
                <w:rFonts w:ascii="Calibri" w:hAnsi="Calibri"/>
                <w:sz w:val="22"/>
              </w:rPr>
              <w:t>XBI (SPDR S&amp;P Biotech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Setup is mixed-to-constructive — the underlying business is tracking well but the Q2 print will be heavily distorted by ~$164M of acquired IPR&amp;D charges (~$0.95/share), making the headline EPS comparison noisy; the real swing factor is whether management’s first consolidated guidance including Apellis is credible and growth-accretive enough to sustain the stock’s re-rating.</w:t>
      </w:r>
    </w:p>
    <w:p>
      <w:r>
        <w:rPr>
          <w:rFonts w:ascii="Calibri" w:hAnsi="Calibri"/>
          <w:color w:val="525866"/>
          <w:sz w:val="22"/>
        </w:rPr>
        <w:t xml:space="preserve">Heading into Q2 2026 results, Biogen’s underlying commercial business is in its strongest position in years — growth products (LEQEMBI, SKYCLARYS, ZURZUVAE, VUMERITY, SPINRAZA HD) collectively generated $851M in Q1 and for the first time exceeded legacy MS revenue in a single quarter, a structural inflection management has been telegraphing for several quarters. The bar for the core business is moderate: consensus revenue of ~$2.46B implies roughly flat year-over-year, consistent with management’s “mid-single digit decline” full-year guide, and the non-GAAP EPS consensus of ~$2.88 already embeds the ~$0.95/share IPR&amp;D drag from the TJ Biopharma felzartamab China deal and the STELLAR-1 salanersen milestone — both pre-disclosed via the July 1 8-K. The more important event is the first consolidated guidance including Apellis (closed May 14, 2026 for ~$5.3B), which management committed to providing with Q2 results; the market will scrutinize SYFOVRE and EMPAVELI revenue contributions, the financing drag (~$120–130M to other income/expense in 2026), and the path to 2027 accretion. The stock has rallied ~6% since last earnings (vs. XBI +16%), suggesting BIIB has underperformed biotech broadly, leaving room for a positive re-rating if Apellis integration commentary is constructive. The key wildcard is the </w:t>
      </w:r>
      <w:r>
        <w:rPr>
          <w:rFonts w:ascii="Calibri" w:hAnsi="Calibri"/>
          <w:b/>
          <w:color w:val="525866"/>
          <w:sz w:val="22"/>
        </w:rPr>
        <w:t>BIIB080 (diranersen) Phase 3 advancement narrative</w:t>
      </w:r>
      <w:r>
        <w:rPr>
          <w:rFonts w:ascii="Calibri" w:hAnsi="Calibri"/>
          <w:color w:val="525866"/>
          <w:sz w:val="22"/>
        </w:rPr>
        <w:t xml:space="preserve"> — the CELIA Phase 2 missed its primary endpoint at AAIC in July, the stock sold off sharply on the day, and management’s ability to frame a credible Phase 3 path will be closely scrutinized on the call.</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revenue of ~$2.46B is a moderate bar — the first quarter with Apellis consolidated means the top line will be materially higher than the standalone prior-year period, making YoY comparisons less meaningful. </w:t>
      </w:r>
      <w:r>
        <w:rPr>
          <w:rFonts w:ascii="Calibri" w:hAnsi="Calibri"/>
          <w:b/>
          <w:color w:val="525866"/>
          <w:sz w:val="22"/>
        </w:rPr>
        <w:t>Non-GAAP EPS is the bigger swing factor</w:t>
      </w:r>
      <w:r>
        <w:rPr>
          <w:rFonts w:ascii="Calibri" w:hAnsi="Calibri"/>
          <w:color w:val="525866"/>
          <w:sz w:val="22"/>
        </w:rPr>
        <w:t>: the pre-disclosed ~$0.95/share IPR&amp;D charge is already in consensus, but any incremental charges or Apellis integration costs could surprise negatively; conversely, stronger LEQEMBI or SYFOVRE revenue could drive upside.</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Reference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$2,478M</w:t>
            </w:r>
          </w:p>
        </w:tc>
        <w:tc>
          <w:tcPr>
            <w:tcW w:type="dxa" w:w="1234"/>
          </w:tcPr>
          <w:p>
            <w:r>
              <w:rPr>
                <w:rFonts w:ascii="Calibri" w:hAnsi="Calibri"/>
                <w:sz w:val="22"/>
              </w:rPr>
              <w:t>$2,646M</w:t>
            </w:r>
          </w:p>
        </w:tc>
        <w:tc>
          <w:tcPr>
            <w:tcW w:type="dxa" w:w="1234"/>
          </w:tcPr>
          <w:p>
            <w:r>
              <w:rPr>
                <w:rFonts w:ascii="Calibri" w:hAnsi="Calibri"/>
                <w:sz w:val="22"/>
              </w:rPr>
              <w:t>$2,456M</w:t>
            </w:r>
          </w:p>
        </w:tc>
        <w:tc>
          <w:tcPr>
            <w:tcW w:type="dxa" w:w="1234"/>
          </w:tcPr>
          <w:p>
            <w:r>
              <w:rPr>
                <w:rFonts w:ascii="Calibri" w:hAnsi="Calibri"/>
                <w:sz w:val="22"/>
              </w:rPr>
              <w:t>-7.2% YoY (standalone)</w:t>
            </w:r>
          </w:p>
        </w:tc>
        <w:tc>
          <w:tcPr>
            <w:tcW w:type="dxa" w:w="1234"/>
          </w:tcPr>
          <w:p>
            <w:r>
              <w:rPr>
                <w:rFonts w:ascii="Calibri" w:hAnsi="Calibri"/>
                <w:sz w:val="22"/>
              </w:rPr>
              <w:t>FY26: mid-single digit % decline (standalone); first consolidated Apellis guidance at Q2</w:t>
            </w:r>
          </w:p>
        </w:tc>
        <w:tc>
          <w:tcPr>
            <w:tcW w:type="dxa" w:w="1234"/>
          </w:tcPr>
          <w:p>
            <w:r>
              <w:rPr>
                <w:rFonts w:ascii="Calibri" w:hAnsi="Calibri"/>
                <w:sz w:val="22"/>
              </w:rPr>
              <w:t>N/A — first Apellis-consolidated quarter; standalone guide implies ~$9.5–10.0B FY</w:t>
            </w:r>
          </w:p>
        </w:tc>
      </w:tr>
      <w:tr>
        <w:tc>
          <w:tcPr>
            <w:tcW w:type="dxa" w:w="1234"/>
          </w:tcPr>
          <w:p>
            <w:r>
              <w:rPr>
                <w:rFonts w:ascii="Calibri" w:hAnsi="Calibri"/>
                <w:sz w:val="22"/>
              </w:rPr>
              <w:t>Non-GAAP Diluted EPS ($)</w:t>
            </w:r>
          </w:p>
        </w:tc>
        <w:tc>
          <w:tcPr>
            <w:tcW w:type="dxa" w:w="1234"/>
          </w:tcPr>
          <w:p>
            <w:r>
              <w:rPr>
                <w:rFonts w:ascii="Calibri" w:hAnsi="Calibri"/>
                <w:sz w:val="22"/>
              </w:rPr>
              <w:t>$3.57</w:t>
            </w:r>
          </w:p>
        </w:tc>
        <w:tc>
          <w:tcPr>
            <w:tcW w:type="dxa" w:w="1234"/>
          </w:tcPr>
          <w:p>
            <w:r>
              <w:rPr>
                <w:rFonts w:ascii="Calibri" w:hAnsi="Calibri"/>
                <w:sz w:val="22"/>
              </w:rPr>
              <w:t>$5.47</w:t>
            </w:r>
          </w:p>
        </w:tc>
        <w:tc>
          <w:tcPr>
            <w:tcW w:type="dxa" w:w="1234"/>
          </w:tcPr>
          <w:p>
            <w:r>
              <w:rPr>
                <w:rFonts w:ascii="Calibri" w:hAnsi="Calibri"/>
                <w:sz w:val="22"/>
              </w:rPr>
              <w:t>$2.88</w:t>
            </w:r>
          </w:p>
        </w:tc>
        <w:tc>
          <w:tcPr>
            <w:tcW w:type="dxa" w:w="1234"/>
          </w:tcPr>
          <w:p>
            <w:r>
              <w:rPr>
                <w:rFonts w:ascii="Calibri" w:hAnsi="Calibri"/>
                <w:sz w:val="22"/>
              </w:rPr>
              <w:t>-47.3% YoY</w:t>
            </w:r>
          </w:p>
        </w:tc>
        <w:tc>
          <w:tcPr>
            <w:tcW w:type="dxa" w:w="1234"/>
          </w:tcPr>
          <w:p>
            <w:r>
              <w:rPr>
                <w:rFonts w:ascii="Calibri" w:hAnsi="Calibri"/>
                <w:sz w:val="22"/>
              </w:rPr>
              <w:t>FY26 guide: $14.25–$15.25 (excl. Apellis); includes ~$1.00 IPR&amp;D drag ($0.20 Q1 + $0.80 Q2)</w:t>
            </w:r>
          </w:p>
        </w:tc>
        <w:tc>
          <w:tcPr>
            <w:tcW w:type="dxa" w:w="1234"/>
          </w:tcPr>
          <w:p>
            <w:r>
              <w:rPr>
                <w:rFonts w:ascii="Calibri" w:hAnsi="Calibri"/>
                <w:sz w:val="22"/>
              </w:rPr>
              <w:t>Q2 consensus ~$0.95 below prior-year; IPR&amp;D drag pre-disclosed via July 1 8-K</w:t>
            </w:r>
          </w:p>
        </w:tc>
      </w:tr>
      <w:tr>
        <w:tc>
          <w:tcPr>
            <w:tcW w:type="dxa" w:w="1234"/>
          </w:tcPr>
          <w:p>
            <w:r>
              <w:rPr>
                <w:rFonts w:ascii="Calibri" w:hAnsi="Calibri"/>
                <w:sz w:val="22"/>
              </w:rPr>
              <w:t>LEQEMBI Revenue — Biogen Share ($M)</w:t>
            </w:r>
          </w:p>
        </w:tc>
        <w:tc>
          <w:tcPr>
            <w:tcW w:type="dxa" w:w="1234"/>
          </w:tcPr>
          <w:p>
            <w:r>
              <w:rPr>
                <w:rFonts w:ascii="Calibri" w:hAnsi="Calibri"/>
                <w:sz w:val="22"/>
              </w:rPr>
              <w:t>$168M</w:t>
            </w:r>
          </w:p>
        </w:tc>
        <w:tc>
          <w:tcPr>
            <w:tcW w:type="dxa" w:w="1234"/>
          </w:tcPr>
          <w:p>
            <w:r>
              <w:rPr>
                <w:rFonts w:ascii="Calibri" w:hAnsi="Calibri"/>
                <w:sz w:val="22"/>
              </w:rPr>
              <w:t>$160M</w:t>
            </w:r>
          </w:p>
        </w:tc>
        <w:tc>
          <w:tcPr>
            <w:tcW w:type="dxa" w:w="1234"/>
          </w:tcPr>
          <w:p>
            <w:r>
              <w:rPr>
                <w:rFonts w:ascii="Calibri" w:hAnsi="Calibri"/>
                <w:sz w:val="22"/>
              </w:rPr>
              <w:t>$178M</w:t>
            </w:r>
          </w:p>
        </w:tc>
        <w:tc>
          <w:tcPr>
            <w:tcW w:type="dxa" w:w="1234"/>
          </w:tcPr>
          <w:p>
            <w:r>
              <w:rPr>
                <w:rFonts w:ascii="Calibri" w:hAnsi="Calibri"/>
                <w:sz w:val="22"/>
              </w:rPr>
              <w:t>+11.3% YoY</w:t>
            </w:r>
          </w:p>
        </w:tc>
        <w:tc>
          <w:tcPr>
            <w:tcW w:type="dxa" w:w="1234"/>
          </w:tcPr>
          <w:p>
            <w:r>
              <w:rPr>
                <w:rFonts w:ascii="Calibri" w:hAnsi="Calibri"/>
                <w:sz w:val="22"/>
              </w:rPr>
              <w:t>Sequential growth expected; IQLIK subcu initiation approved May 2026; full Part D reimbursement Jan 2027</w:t>
            </w:r>
          </w:p>
        </w:tc>
        <w:tc>
          <w:tcPr>
            <w:tcW w:type="dxa" w:w="1234"/>
          </w:tcPr>
          <w:p>
            <w:r>
              <w:rPr>
                <w:rFonts w:ascii="Calibri" w:hAnsi="Calibri"/>
                <w:sz w:val="22"/>
              </w:rPr>
              <w:t>Consensus above prior-year; trajectory key signal for 2H acceleration thesis</w:t>
            </w:r>
          </w:p>
        </w:tc>
      </w:tr>
      <w:tr>
        <w:tc>
          <w:tcPr>
            <w:tcW w:type="dxa" w:w="1234"/>
          </w:tcPr>
          <w:p>
            <w:r>
              <w:rPr>
                <w:rFonts w:ascii="Calibri" w:hAnsi="Calibri"/>
                <w:sz w:val="22"/>
              </w:rPr>
              <w:t>SPINRAZA Revenue ($M)</w:t>
            </w:r>
          </w:p>
        </w:tc>
        <w:tc>
          <w:tcPr>
            <w:tcW w:type="dxa" w:w="1234"/>
          </w:tcPr>
          <w:p>
            <w:r>
              <w:rPr>
                <w:rFonts w:ascii="Calibri" w:hAnsi="Calibri"/>
                <w:sz w:val="22"/>
              </w:rPr>
              <w:t>$374M</w:t>
            </w:r>
          </w:p>
        </w:tc>
        <w:tc>
          <w:tcPr>
            <w:tcW w:type="dxa" w:w="1234"/>
          </w:tcPr>
          <w:p>
            <w:r>
              <w:rPr>
                <w:rFonts w:ascii="Calibri" w:hAnsi="Calibri"/>
                <w:sz w:val="22"/>
              </w:rPr>
              <w:t>$393M</w:t>
            </w:r>
          </w:p>
        </w:tc>
        <w:tc>
          <w:tcPr>
            <w:tcW w:type="dxa" w:w="1234"/>
          </w:tcPr>
          <w:p>
            <w:r>
              <w:rPr>
                <w:rFonts w:ascii="Calibri" w:hAnsi="Calibri"/>
                <w:sz w:val="22"/>
              </w:rPr>
              <w:t>$385M</w:t>
            </w:r>
          </w:p>
        </w:tc>
        <w:tc>
          <w:tcPr>
            <w:tcW w:type="dxa" w:w="1234"/>
          </w:tcPr>
          <w:p>
            <w:r>
              <w:rPr>
                <w:rFonts w:ascii="Calibri" w:hAnsi="Calibri"/>
                <w:sz w:val="22"/>
              </w:rPr>
              <w:t>-2.0% YoY</w:t>
            </w:r>
          </w:p>
        </w:tc>
        <w:tc>
          <w:tcPr>
            <w:tcW w:type="dxa" w:w="1234"/>
          </w:tcPr>
          <w:p>
            <w:r>
              <w:rPr>
                <w:rFonts w:ascii="Calibri" w:hAnsi="Calibri"/>
                <w:sz w:val="22"/>
              </w:rPr>
              <w:t>HD launch in US (Apr 2026); ~20% of US patient base submitted start forms within first month</w:t>
            </w:r>
          </w:p>
        </w:tc>
        <w:tc>
          <w:tcPr>
            <w:tcW w:type="dxa" w:w="1234"/>
          </w:tcPr>
          <w:p>
            <w:r>
              <w:rPr>
                <w:rFonts w:ascii="Calibri" w:hAnsi="Calibri"/>
                <w:sz w:val="22"/>
              </w:rPr>
              <w:t>Consensus slightly below prior year; HD ramp could drive upside</w:t>
            </w:r>
          </w:p>
        </w:tc>
      </w:tr>
      <w:tr>
        <w:tc>
          <w:tcPr>
            <w:tcW w:type="dxa" w:w="1234"/>
          </w:tcPr>
          <w:p>
            <w:r>
              <w:rPr>
                <w:rFonts w:ascii="Calibri" w:hAnsi="Calibri"/>
                <w:sz w:val="22"/>
              </w:rPr>
              <w:t>SKYCLARYS Revenue ($M)</w:t>
            </w:r>
          </w:p>
        </w:tc>
        <w:tc>
          <w:tcPr>
            <w:tcW w:type="dxa" w:w="1234"/>
          </w:tcPr>
          <w:p>
            <w:r>
              <w:rPr>
                <w:rFonts w:ascii="Calibri" w:hAnsi="Calibri"/>
                <w:sz w:val="22"/>
              </w:rPr>
              <w:t>$151M</w:t>
            </w:r>
          </w:p>
        </w:tc>
        <w:tc>
          <w:tcPr>
            <w:tcW w:type="dxa" w:w="1234"/>
          </w:tcPr>
          <w:p>
            <w:r>
              <w:rPr>
                <w:rFonts w:ascii="Calibri" w:hAnsi="Calibri"/>
                <w:sz w:val="22"/>
              </w:rPr>
              <w:t>$130M</w:t>
            </w:r>
          </w:p>
        </w:tc>
        <w:tc>
          <w:tcPr>
            <w:tcW w:type="dxa" w:w="1234"/>
          </w:tcPr>
          <w:p>
            <w:r>
              <w:rPr>
                <w:rFonts w:ascii="Calibri" w:hAnsi="Calibri"/>
                <w:sz w:val="22"/>
              </w:rPr>
              <w:t>$157M</w:t>
            </w:r>
          </w:p>
        </w:tc>
        <w:tc>
          <w:tcPr>
            <w:tcW w:type="dxa" w:w="1234"/>
          </w:tcPr>
          <w:p>
            <w:r>
              <w:rPr>
                <w:rFonts w:ascii="Calibri" w:hAnsi="Calibri"/>
                <w:sz w:val="22"/>
              </w:rPr>
              <w:t>+20.8% YoY</w:t>
            </w:r>
          </w:p>
        </w:tc>
        <w:tc>
          <w:tcPr>
            <w:tcW w:type="dxa" w:w="1234"/>
          </w:tcPr>
          <w:p>
            <w:r>
              <w:rPr>
                <w:rFonts w:ascii="Calibri" w:hAnsi="Calibri"/>
                <w:sz w:val="22"/>
              </w:rPr>
              <w:t>Ex-US now exceeds US; available in 35 countries; Brazil launch expected 2026</w:t>
            </w:r>
          </w:p>
        </w:tc>
        <w:tc>
          <w:tcPr>
            <w:tcW w:type="dxa" w:w="1234"/>
          </w:tcPr>
          <w:p>
            <w:r>
              <w:rPr>
                <w:rFonts w:ascii="Calibri" w:hAnsi="Calibri"/>
                <w:sz w:val="22"/>
              </w:rPr>
              <w:t>Consensus above prior year; ex-US reimbursement timing creates lumpiness risk</w:t>
            </w:r>
          </w:p>
        </w:tc>
      </w:tr>
      <w:tr>
        <w:tc>
          <w:tcPr>
            <w:tcW w:type="dxa" w:w="1234"/>
          </w:tcPr>
          <w:p>
            <w:r>
              <w:rPr>
                <w:rFonts w:ascii="Calibri" w:hAnsi="Calibri"/>
                <w:sz w:val="22"/>
              </w:rPr>
              <w:t>VUMERITY Revenue ($M)</w:t>
            </w:r>
          </w:p>
        </w:tc>
        <w:tc>
          <w:tcPr>
            <w:tcW w:type="dxa" w:w="1234"/>
          </w:tcPr>
          <w:p>
            <w:r>
              <w:rPr>
                <w:rFonts w:ascii="Calibri" w:hAnsi="Calibri"/>
                <w:sz w:val="22"/>
              </w:rPr>
              <w:t>$179M</w:t>
            </w:r>
          </w:p>
        </w:tc>
        <w:tc>
          <w:tcPr>
            <w:tcW w:type="dxa" w:w="1234"/>
          </w:tcPr>
          <w:p>
            <w:r>
              <w:rPr>
                <w:rFonts w:ascii="Calibri" w:hAnsi="Calibri"/>
                <w:sz w:val="22"/>
              </w:rPr>
              <w:t>$212M</w:t>
            </w:r>
          </w:p>
        </w:tc>
        <w:tc>
          <w:tcPr>
            <w:tcW w:type="dxa" w:w="1234"/>
          </w:tcPr>
          <w:p>
            <w:r>
              <w:rPr>
                <w:rFonts w:ascii="Calibri" w:hAnsi="Calibri"/>
                <w:sz w:val="22"/>
              </w:rPr>
              <w:t>$198M</w:t>
            </w:r>
          </w:p>
        </w:tc>
        <w:tc>
          <w:tcPr>
            <w:tcW w:type="dxa" w:w="1234"/>
          </w:tcPr>
          <w:p>
            <w:r>
              <w:rPr>
                <w:rFonts w:ascii="Calibri" w:hAnsi="Calibri"/>
                <w:sz w:val="22"/>
              </w:rPr>
              <w:t>-6.6% YoY</w:t>
            </w:r>
          </w:p>
        </w:tc>
        <w:tc>
          <w:tcPr>
            <w:tcW w:type="dxa" w:w="1234"/>
          </w:tcPr>
          <w:p>
            <w:r>
              <w:rPr>
                <w:rFonts w:ascii="Calibri" w:hAnsi="Calibri"/>
                <w:sz w:val="22"/>
              </w:rPr>
              <w:t>Included in growth products; DTC advertising ongoing; patent protection through next decade</w:t>
            </w:r>
          </w:p>
        </w:tc>
        <w:tc>
          <w:tcPr>
            <w:tcW w:type="dxa" w:w="1234"/>
          </w:tcPr>
          <w:p>
            <w:r>
              <w:rPr>
                <w:rFonts w:ascii="Calibri" w:hAnsi="Calibri"/>
                <w:sz w:val="22"/>
              </w:rPr>
              <w:t>Consensus below prior year; Q2 2025 was elevated; normalized run-rate ~$180–200M</w:t>
            </w:r>
          </w:p>
        </w:tc>
      </w:tr>
      <w:tr>
        <w:tc>
          <w:tcPr>
            <w:tcW w:type="dxa" w:w="1234"/>
          </w:tcPr>
          <w:p>
            <w:r>
              <w:rPr>
                <w:rFonts w:ascii="Calibri" w:hAnsi="Calibri"/>
                <w:sz w:val="22"/>
              </w:rPr>
              <w:t>SYFOVRE Revenue ($M) — First Consolidated Quarter</w:t>
            </w:r>
          </w:p>
        </w:tc>
        <w:tc>
          <w:tcPr>
            <w:tcW w:type="dxa" w:w="1234"/>
          </w:tcPr>
          <w:p>
            <w:r>
              <w:rPr>
                <w:rFonts w:ascii="Calibri" w:hAnsi="Calibri"/>
                <w:sz w:val="22"/>
              </w:rPr>
              <w:t>N/A (pre-close)</w:t>
            </w:r>
          </w:p>
        </w:tc>
        <w:tc>
          <w:tcPr>
            <w:tcW w:type="dxa" w:w="1234"/>
          </w:tcPr>
          <w:p>
            <w:r>
              <w:rPr>
                <w:rFonts w:ascii="Calibri" w:hAnsi="Calibri"/>
                <w:sz w:val="22"/>
              </w:rPr>
              <w:t>N/A (pre-acquisition)</w:t>
            </w:r>
          </w:p>
        </w:tc>
        <w:tc>
          <w:tcPr>
            <w:tcW w:type="dxa" w:w="1234"/>
          </w:tcPr>
          <w:p>
            <w:r>
              <w:rPr>
                <w:rFonts w:ascii="Calibri" w:hAnsi="Calibri"/>
                <w:sz w:val="22"/>
              </w:rPr>
              <w:t>~$130–150M (est.)</w:t>
            </w:r>
          </w:p>
        </w:tc>
        <w:tc>
          <w:tcPr>
            <w:tcW w:type="dxa" w:w="1234"/>
          </w:tcPr>
          <w:p>
            <w:r>
              <w:rPr>
                <w:rFonts w:ascii="Calibri" w:hAnsi="Calibri"/>
                <w:sz w:val="22"/>
              </w:rPr>
              <w:t>N/A — first consolidated quarter</w:t>
            </w:r>
          </w:p>
        </w:tc>
        <w:tc>
          <w:tcPr>
            <w:tcW w:type="dxa" w:w="1234"/>
          </w:tcPr>
          <w:p>
            <w:r>
              <w:rPr>
                <w:rFonts w:ascii="Calibri" w:hAnsi="Calibri"/>
                <w:sz w:val="22"/>
              </w:rPr>
              <w:t>Apellis closed May 14, 2026; SYFOVRE + EMPAVELI expected mid-to-high teen % growth for 2+ years post-close</w:t>
            </w:r>
          </w:p>
        </w:tc>
        <w:tc>
          <w:tcPr>
            <w:tcW w:type="dxa" w:w="1234"/>
          </w:tcPr>
          <w:p>
            <w:r>
              <w:rPr>
                <w:rFonts w:ascii="Calibri" w:hAnsi="Calibri"/>
                <w:sz w:val="22"/>
              </w:rPr>
              <w:t>Key new revenue line; management to provide first consolidated guidance on call</w:t>
            </w:r>
          </w:p>
        </w:tc>
      </w:tr>
    </w:tbl>
    <w:p>
      <w:r>
        <w:rPr>
          <w:rFonts w:ascii="Calibri" w:hAnsi="Calibri"/>
          <w:b/>
          <w:color w:val="525866"/>
          <w:sz w:val="22"/>
        </w:rPr>
        <w:t xml:space="preserve">Sources: </w:t>
      </w:r>
      <w:r>
        <w:rPr>
          <w:rFonts w:ascii="Calibri" w:hAnsi="Calibri"/>
          <w:color w:val="525866"/>
          <w:sz w:val="22"/>
        </w:rPr>
        <w:t>Visible Alpha Consensus and Actuals Data; Biogen Q1 2026 Earnings Release (April 29, 2026); Biogen 8-K (July 1, 2026).</w:t>
      </w:r>
    </w:p>
    <w:p>
      <w:pPr>
        <w:pStyle w:val="Heading2"/>
      </w:pPr>
      <w:r>
        <w:rPr>
          <w:rFonts w:ascii="Calibri" w:hAnsi="Calibri"/>
          <w:b/>
          <w:color w:val="3B4259"/>
          <w:sz w:val="28"/>
        </w:rPr>
        <w:t>Table 2 — Beat/Miss History: Last 8 Quarters</w:t>
      </w:r>
    </w:p>
    <w:p>
      <w:r>
        <w:rPr>
          <w:rFonts w:ascii="Calibri" w:hAnsi="Calibri"/>
          <w:color w:val="525866"/>
          <w:sz w:val="22"/>
        </w:rPr>
        <w:t>Top 2 KPIs: Total Revenue and Non-GAAP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$2,478M</w:t>
            </w:r>
          </w:p>
        </w:tc>
        <w:tc>
          <w:tcPr>
            <w:tcW w:type="dxa" w:w="1440"/>
          </w:tcPr>
          <w:p>
            <w:r>
              <w:rPr>
                <w:rFonts w:ascii="Calibri" w:hAnsi="Calibri"/>
                <w:sz w:val="22"/>
              </w:rPr>
              <w:t>$2,248M</w:t>
            </w:r>
          </w:p>
        </w:tc>
        <w:tc>
          <w:tcPr>
            <w:tcW w:type="dxa" w:w="1440"/>
          </w:tcPr>
          <w:p>
            <w:r>
              <w:rPr>
                <w:rFonts w:ascii="Calibri" w:hAnsi="Calibri"/>
                <w:b/>
                <w:color w:val="30A46C"/>
                <w:sz w:val="22"/>
              </w:rPr>
              <w:t>+10.2%</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$3.57</w:t>
            </w:r>
          </w:p>
        </w:tc>
        <w:tc>
          <w:tcPr>
            <w:tcW w:type="dxa" w:w="1440"/>
          </w:tcPr>
          <w:p>
            <w:r>
              <w:rPr>
                <w:rFonts w:ascii="Calibri" w:hAnsi="Calibri"/>
                <w:sz w:val="22"/>
              </w:rPr>
              <w:t>$2.89</w:t>
            </w:r>
          </w:p>
        </w:tc>
        <w:tc>
          <w:tcPr>
            <w:tcW w:type="dxa" w:w="1440"/>
          </w:tcPr>
          <w:p>
            <w:r>
              <w:rPr>
                <w:rFonts w:ascii="Calibri" w:hAnsi="Calibri"/>
                <w:b/>
                <w:color w:val="30A46C"/>
                <w:sz w:val="22"/>
              </w:rPr>
              <w:t>+23.5%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$2,279M</w:t>
            </w:r>
          </w:p>
        </w:tc>
        <w:tc>
          <w:tcPr>
            <w:tcW w:type="dxa" w:w="1440"/>
          </w:tcPr>
          <w:p>
            <w:r>
              <w:rPr>
                <w:rFonts w:ascii="Calibri" w:hAnsi="Calibri"/>
                <w:sz w:val="22"/>
              </w:rPr>
              <w:t>$2,213M</w:t>
            </w:r>
          </w:p>
        </w:tc>
        <w:tc>
          <w:tcPr>
            <w:tcW w:type="dxa" w:w="1440"/>
          </w:tcPr>
          <w:p>
            <w:r>
              <w:rPr>
                <w:rFonts w:ascii="Calibri" w:hAnsi="Calibri"/>
                <w:b/>
                <w:color w:val="30A46C"/>
                <w:sz w:val="22"/>
              </w:rPr>
              <w:t>+3.0%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$1.99</w:t>
            </w:r>
          </w:p>
        </w:tc>
        <w:tc>
          <w:tcPr>
            <w:tcW w:type="dxa" w:w="1440"/>
          </w:tcPr>
          <w:p>
            <w:r>
              <w:rPr>
                <w:rFonts w:ascii="Calibri" w:hAnsi="Calibri"/>
                <w:sz w:val="22"/>
              </w:rPr>
              <w:t>$1.71</w:t>
            </w:r>
          </w:p>
        </w:tc>
        <w:tc>
          <w:tcPr>
            <w:tcW w:type="dxa" w:w="1440"/>
          </w:tcPr>
          <w:p>
            <w:r>
              <w:rPr>
                <w:rFonts w:ascii="Calibri" w:hAnsi="Calibri"/>
                <w:b/>
                <w:color w:val="30A46C"/>
                <w:sz w:val="22"/>
              </w:rPr>
              <w:t>+16.4%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$2,535M</w:t>
            </w:r>
          </w:p>
        </w:tc>
        <w:tc>
          <w:tcPr>
            <w:tcW w:type="dxa" w:w="1440"/>
          </w:tcPr>
          <w:p>
            <w:r>
              <w:rPr>
                <w:rFonts w:ascii="Calibri" w:hAnsi="Calibri"/>
                <w:sz w:val="22"/>
              </w:rPr>
              <w:t>$2,343M</w:t>
            </w:r>
          </w:p>
        </w:tc>
        <w:tc>
          <w:tcPr>
            <w:tcW w:type="dxa" w:w="1440"/>
          </w:tcPr>
          <w:p>
            <w:r>
              <w:rPr>
                <w:rFonts w:ascii="Calibri" w:hAnsi="Calibri"/>
                <w:b/>
                <w:color w:val="30A46C"/>
                <w:sz w:val="22"/>
              </w:rPr>
              <w:t>+8.2%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$4.81</w:t>
            </w:r>
          </w:p>
        </w:tc>
        <w:tc>
          <w:tcPr>
            <w:tcW w:type="dxa" w:w="1440"/>
          </w:tcPr>
          <w:p>
            <w:r>
              <w:rPr>
                <w:rFonts w:ascii="Calibri" w:hAnsi="Calibri"/>
                <w:sz w:val="22"/>
              </w:rPr>
              <w:t>$3.91</w:t>
            </w:r>
          </w:p>
        </w:tc>
        <w:tc>
          <w:tcPr>
            <w:tcW w:type="dxa" w:w="1440"/>
          </w:tcPr>
          <w:p>
            <w:r>
              <w:rPr>
                <w:rFonts w:ascii="Calibri" w:hAnsi="Calibri"/>
                <w:b/>
                <w:color w:val="30A46C"/>
                <w:sz w:val="22"/>
              </w:rPr>
              <w:t>+23.0%</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$2,646M</w:t>
            </w:r>
          </w:p>
        </w:tc>
        <w:tc>
          <w:tcPr>
            <w:tcW w:type="dxa" w:w="1440"/>
          </w:tcPr>
          <w:p>
            <w:r>
              <w:rPr>
                <w:rFonts w:ascii="Calibri" w:hAnsi="Calibri"/>
                <w:sz w:val="22"/>
              </w:rPr>
              <w:t>$2,323M</w:t>
            </w:r>
          </w:p>
        </w:tc>
        <w:tc>
          <w:tcPr>
            <w:tcW w:type="dxa" w:w="1440"/>
          </w:tcPr>
          <w:p>
            <w:r>
              <w:rPr>
                <w:rFonts w:ascii="Calibri" w:hAnsi="Calibri"/>
                <w:b/>
                <w:color w:val="30A46C"/>
                <w:sz w:val="22"/>
              </w:rPr>
              <w:t>+13.9%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$5.47</w:t>
            </w:r>
          </w:p>
        </w:tc>
        <w:tc>
          <w:tcPr>
            <w:tcW w:type="dxa" w:w="1440"/>
          </w:tcPr>
          <w:p>
            <w:r>
              <w:rPr>
                <w:rFonts w:ascii="Calibri" w:hAnsi="Calibri"/>
                <w:sz w:val="22"/>
              </w:rPr>
              <w:t>$3.92</w:t>
            </w:r>
          </w:p>
        </w:tc>
        <w:tc>
          <w:tcPr>
            <w:tcW w:type="dxa" w:w="1440"/>
          </w:tcPr>
          <w:p>
            <w:r>
              <w:rPr>
                <w:rFonts w:ascii="Calibri" w:hAnsi="Calibri"/>
                <w:b/>
                <w:color w:val="30A46C"/>
                <w:sz w:val="22"/>
              </w:rPr>
              <w:t>+39.5%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$2,431M</w:t>
            </w:r>
          </w:p>
        </w:tc>
        <w:tc>
          <w:tcPr>
            <w:tcW w:type="dxa" w:w="1440"/>
          </w:tcPr>
          <w:p>
            <w:r>
              <w:rPr>
                <w:rFonts w:ascii="Calibri" w:hAnsi="Calibri"/>
                <w:sz w:val="22"/>
              </w:rPr>
              <w:t>$2,238M</w:t>
            </w:r>
          </w:p>
        </w:tc>
        <w:tc>
          <w:tcPr>
            <w:tcW w:type="dxa" w:w="1440"/>
          </w:tcPr>
          <w:p>
            <w:r>
              <w:rPr>
                <w:rFonts w:ascii="Calibri" w:hAnsi="Calibri"/>
                <w:b/>
                <w:color w:val="30A46C"/>
                <w:sz w:val="22"/>
              </w:rPr>
              <w:t>+8.6%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$3.02</w:t>
            </w:r>
          </w:p>
        </w:tc>
        <w:tc>
          <w:tcPr>
            <w:tcW w:type="dxa" w:w="1440"/>
          </w:tcPr>
          <w:p>
            <w:r>
              <w:rPr>
                <w:rFonts w:ascii="Calibri" w:hAnsi="Calibri"/>
                <w:sz w:val="22"/>
              </w:rPr>
              <w:t>$3.04</w:t>
            </w:r>
          </w:p>
        </w:tc>
        <w:tc>
          <w:tcPr>
            <w:tcW w:type="dxa" w:w="1440"/>
          </w:tcPr>
          <w:p>
            <w:r>
              <w:rPr>
                <w:rFonts w:ascii="Calibri" w:hAnsi="Calibri"/>
                <w:b/>
                <w:color w:val="E5484D"/>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$2,455M</w:t>
            </w:r>
          </w:p>
        </w:tc>
        <w:tc>
          <w:tcPr>
            <w:tcW w:type="dxa" w:w="1440"/>
          </w:tcPr>
          <w:p>
            <w:r>
              <w:rPr>
                <w:rFonts w:ascii="Calibri" w:hAnsi="Calibri"/>
                <w:sz w:val="22"/>
              </w:rPr>
              <w:t>$2,412M</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$3.44</w:t>
            </w:r>
          </w:p>
        </w:tc>
        <w:tc>
          <w:tcPr>
            <w:tcW w:type="dxa" w:w="1440"/>
          </w:tcPr>
          <w:p>
            <w:r>
              <w:rPr>
                <w:rFonts w:ascii="Calibri" w:hAnsi="Calibri"/>
                <w:sz w:val="22"/>
              </w:rPr>
              <w:t>$3.39</w:t>
            </w:r>
          </w:p>
        </w:tc>
        <w:tc>
          <w:tcPr>
            <w:tcW w:type="dxa" w:w="1440"/>
          </w:tcPr>
          <w:p>
            <w:r>
              <w:rPr>
                <w:rFonts w:ascii="Calibri" w:hAnsi="Calibri"/>
                <w:b/>
                <w:color w:val="30A46C"/>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$2,466M</w:t>
            </w:r>
          </w:p>
        </w:tc>
        <w:tc>
          <w:tcPr>
            <w:tcW w:type="dxa" w:w="1440"/>
          </w:tcPr>
          <w:p>
            <w:r>
              <w:rPr>
                <w:rFonts w:ascii="Calibri" w:hAnsi="Calibri"/>
                <w:sz w:val="22"/>
              </w:rPr>
              <w:t>$2,436M</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$4.08</w:t>
            </w:r>
          </w:p>
        </w:tc>
        <w:tc>
          <w:tcPr>
            <w:tcW w:type="dxa" w:w="1440"/>
          </w:tcPr>
          <w:p>
            <w:r>
              <w:rPr>
                <w:rFonts w:ascii="Calibri" w:hAnsi="Calibri"/>
                <w:sz w:val="22"/>
              </w:rPr>
              <w:t>$3.79</w:t>
            </w:r>
          </w:p>
        </w:tc>
        <w:tc>
          <w:tcPr>
            <w:tcW w:type="dxa" w:w="1440"/>
          </w:tcPr>
          <w:p>
            <w:r>
              <w:rPr>
                <w:rFonts w:ascii="Calibri" w:hAnsi="Calibri"/>
                <w:b/>
                <w:color w:val="30A46C"/>
                <w:sz w:val="22"/>
              </w:rPr>
              <w:t>+7.7%</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$2,465M</w:t>
            </w:r>
          </w:p>
        </w:tc>
        <w:tc>
          <w:tcPr>
            <w:tcW w:type="dxa" w:w="1440"/>
          </w:tcPr>
          <w:p>
            <w:r>
              <w:rPr>
                <w:rFonts w:ascii="Calibri" w:hAnsi="Calibri"/>
                <w:sz w:val="22"/>
              </w:rPr>
              <w:t>$2,379M</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Non-GAAP EPS</w:t>
            </w:r>
          </w:p>
        </w:tc>
        <w:tc>
          <w:tcPr>
            <w:tcW w:type="dxa" w:w="1440"/>
          </w:tcPr>
          <w:p>
            <w:r>
              <w:rPr>
                <w:rFonts w:ascii="Calibri" w:hAnsi="Calibri"/>
                <w:sz w:val="22"/>
              </w:rPr>
              <w:t>$5.28</w:t>
            </w:r>
          </w:p>
        </w:tc>
        <w:tc>
          <w:tcPr>
            <w:tcW w:type="dxa" w:w="1440"/>
          </w:tcPr>
          <w:p>
            <w:r>
              <w:rPr>
                <w:rFonts w:ascii="Calibri" w:hAnsi="Calibri"/>
                <w:sz w:val="22"/>
              </w:rPr>
              <w:t>$4.04</w:t>
            </w:r>
          </w:p>
        </w:tc>
        <w:tc>
          <w:tcPr>
            <w:tcW w:type="dxa" w:w="1440"/>
          </w:tcPr>
          <w:p>
            <w:r>
              <w:rPr>
                <w:rFonts w:ascii="Calibri" w:hAnsi="Calibri"/>
                <w:b/>
                <w:color w:val="30A46C"/>
                <w:sz w:val="22"/>
              </w:rPr>
              <w:t>+30.8%</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Biogen has beaten revenue consensus in 7 of the last 8 quarters and non-GAAP EPS in 7 of 8, with the sole EPS miss in Q1 2025 driven by a large IPR&amp;D charge (Stoke/Zorevunersen, ~$0.95/share) — the same dynamic that will weigh on Q2 2026 EPS, which is already embedded in consensus.</w:t>
      </w:r>
    </w:p>
    <w:p>
      <w:r>
        <w:rPr>
          <w:rFonts w:ascii="Calibri" w:hAnsi="Calibri"/>
          <w:b/>
          <w:color w:val="525866"/>
          <w:sz w:val="22"/>
        </w:rPr>
        <w:t xml:space="preserve">Source: </w:t>
      </w:r>
      <w:r>
        <w:rPr>
          <w:rFonts w:ascii="Calibri" w:hAnsi="Calibri"/>
          <w:color w:val="525866"/>
          <w:sz w:val="22"/>
        </w:rPr>
        <w:t>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Revenue guidance is unchanged since Q1 earnings (mid-single digit % decline for standalone FY2026), but the July 1 8-K pre-disclosed an additional ~$164M IPR&amp;D charge for Q2 and flagged $290–320M more in Q3 — the EPS guide has effectively been revised lower twice since February. The most important guidance event on the Q2 call will be the </w:t>
      </w:r>
      <w:r>
        <w:rPr>
          <w:rFonts w:ascii="Calibri" w:hAnsi="Calibri"/>
          <w:b/>
          <w:color w:val="525866"/>
          <w:sz w:val="22"/>
        </w:rPr>
        <w:t>first consolidated 2026 outlook including Apellis</w:t>
      </w:r>
      <w:r>
        <w:rPr>
          <w:rFonts w:ascii="Calibri" w:hAnsi="Calibri"/>
          <w:color w:val="525866"/>
          <w:sz w:val="22"/>
        </w:rPr>
        <w:t>, which management committed to providing.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Total Revenue</w:t>
            </w:r>
          </w:p>
        </w:tc>
        <w:tc>
          <w:tcPr>
            <w:tcW w:type="dxa" w:w="1728"/>
          </w:tcPr>
          <w:p>
            <w:r>
              <w:rPr>
                <w:rFonts w:ascii="Calibri" w:hAnsi="Calibri"/>
                <w:sz w:val="22"/>
              </w:rPr>
              <w:t>Mid-single digit % decline vs. FY2025 (standalone, excl. Apellis)</w:t>
            </w:r>
          </w:p>
        </w:tc>
        <w:tc>
          <w:tcPr>
            <w:tcW w:type="dxa" w:w="1728"/>
          </w:tcPr>
          <w:p>
            <w:r>
              <w:rPr>
                <w:rFonts w:ascii="Calibri" w:hAnsi="Calibri"/>
                <w:sz w:val="22"/>
              </w:rPr>
              <w:t>Unchanged (standalone); first consolidated guide at Q2 call</w:t>
            </w:r>
          </w:p>
        </w:tc>
        <w:tc>
          <w:tcPr>
            <w:tcW w:type="dxa" w:w="1728"/>
          </w:tcPr>
          <w:p>
            <w:r>
              <w:rPr>
                <w:rFonts w:ascii="Calibri" w:hAnsi="Calibri"/>
                <w:sz w:val="22"/>
              </w:rPr>
              <w:t>~$10.0B (FY2026 consensus, now includes Apellis)</w:t>
            </w:r>
          </w:p>
        </w:tc>
        <w:tc>
          <w:tcPr>
            <w:tcW w:type="dxa" w:w="1728"/>
          </w:tcPr>
          <w:p>
            <w:r>
              <w:rPr>
                <w:rFonts w:ascii="Calibri" w:hAnsi="Calibri"/>
                <w:sz w:val="22"/>
              </w:rPr>
              <w:t>Apellis closed May 14; management to provide first consolidated FY2026 revenue guide on Q2 call</w:t>
            </w:r>
          </w:p>
        </w:tc>
      </w:tr>
      <w:tr>
        <w:tc>
          <w:tcPr>
            <w:tcW w:type="dxa" w:w="1728"/>
          </w:tcPr>
          <w:p>
            <w:r>
              <w:rPr>
                <w:rFonts w:ascii="Calibri" w:hAnsi="Calibri"/>
                <w:sz w:val="22"/>
              </w:rPr>
              <w:t>FY2026 Non-GAAP Diluted EPS</w:t>
            </w:r>
          </w:p>
        </w:tc>
        <w:tc>
          <w:tcPr>
            <w:tcW w:type="dxa" w:w="1728"/>
          </w:tcPr>
          <w:p>
            <w:r>
              <w:rPr>
                <w:rFonts w:ascii="Calibri" w:hAnsi="Calibri"/>
                <w:sz w:val="22"/>
              </w:rPr>
              <w:t>$14.25–$15.25 (updated at Q1 call from prior $15.25–$16.25; includes ~$1.00 IPR&amp;D drag)</w:t>
            </w:r>
          </w:p>
        </w:tc>
        <w:tc>
          <w:tcPr>
            <w:tcW w:type="dxa" w:w="1728"/>
          </w:tcPr>
          <w:p>
            <w:r>
              <w:rPr>
                <w:rFonts w:ascii="Calibri" w:hAnsi="Calibri"/>
                <w:sz w:val="22"/>
              </w:rPr>
              <w:t>Additional ~$0.95/share Q2 IPR&amp;D pre-disclosed via 8-K (July 1, 2026); Q3 IPR&amp;D flagged at $1.75–$1.95/share</w:t>
            </w:r>
          </w:p>
        </w:tc>
        <w:tc>
          <w:tcPr>
            <w:tcW w:type="dxa" w:w="1728"/>
          </w:tcPr>
          <w:p>
            <w:r>
              <w:rPr>
                <w:rFonts w:ascii="Calibri" w:hAnsi="Calibri"/>
                <w:sz w:val="22"/>
              </w:rPr>
              <w:t>~$12.60 (FY2026 consensus)</w:t>
            </w:r>
          </w:p>
        </w:tc>
        <w:tc>
          <w:tcPr>
            <w:tcW w:type="dxa" w:w="1728"/>
          </w:tcPr>
          <w:p>
            <w:r>
              <w:rPr>
                <w:rFonts w:ascii="Calibri" w:hAnsi="Calibri"/>
                <w:sz w:val="22"/>
              </w:rPr>
              <w:t>↓ Lowered via 8-K July 1, 2026; Q2 IPR&amp;D ~$164M (~$0.95/share); Q3 IPR&amp;D $290–320M ($1.75–$1.95/share) flagged for potential milestones/transactions not yet closed</w:t>
            </w:r>
          </w:p>
        </w:tc>
      </w:tr>
      <w:tr>
        <w:tc>
          <w:tcPr>
            <w:tcW w:type="dxa" w:w="1728"/>
          </w:tcPr>
          <w:p>
            <w:r>
              <w:rPr>
                <w:rFonts w:ascii="Calibri" w:hAnsi="Calibri"/>
                <w:sz w:val="22"/>
              </w:rPr>
              <w:t>FY2026 Gross Margin %</w:t>
            </w:r>
          </w:p>
        </w:tc>
        <w:tc>
          <w:tcPr>
            <w:tcW w:type="dxa" w:w="1728"/>
          </w:tcPr>
          <w:p>
            <w:r>
              <w:rPr>
                <w:rFonts w:ascii="Calibri" w:hAnsi="Calibri"/>
                <w:sz w:val="22"/>
              </w:rPr>
              <w:t>Roughly consistent YoY vs. FY2025</w:t>
            </w:r>
          </w:p>
        </w:tc>
        <w:tc>
          <w:tcPr>
            <w:tcW w:type="dxa" w:w="1728"/>
          </w:tcPr>
          <w:p>
            <w:r>
              <w:rPr>
                <w:rFonts w:ascii="Calibri" w:hAnsi="Calibri"/>
                <w:sz w:val="22"/>
              </w:rPr>
              <w:t>Unchanged</w:t>
            </w:r>
          </w:p>
        </w:tc>
        <w:tc>
          <w:tcPr>
            <w:tcW w:type="dxa" w:w="1728"/>
          </w:tcPr>
          <w:p>
            <w:r>
              <w:rPr>
                <w:rFonts w:ascii="Calibri" w:hAnsi="Calibri"/>
                <w:sz w:val="22"/>
              </w:rPr>
              <w:t>N/A — not in VA consensus</w:t>
            </w:r>
          </w:p>
        </w:tc>
        <w:tc>
          <w:tcPr>
            <w:tcW w:type="dxa" w:w="1728"/>
          </w:tcPr>
          <w:p>
            <w:r>
              <w:rPr>
                <w:rFonts w:ascii="Calibri" w:hAnsi="Calibri"/>
                <w:sz w:val="22"/>
              </w:rPr>
              <w:t>Apellis product mix (SYFOVRE, EMPAVELI) may modestly pressure gross margin in 2H 2026</w:t>
            </w:r>
          </w:p>
        </w:tc>
      </w:tr>
      <w:tr>
        <w:tc>
          <w:tcPr>
            <w:tcW w:type="dxa" w:w="1728"/>
          </w:tcPr>
          <w:p>
            <w:r>
              <w:rPr>
                <w:rFonts w:ascii="Calibri" w:hAnsi="Calibri"/>
                <w:sz w:val="22"/>
              </w:rPr>
              <w:t>FY2026 Non-GAAP R&amp;D + SG&amp;A (Core OpEx)</w:t>
            </w:r>
          </w:p>
        </w:tc>
        <w:tc>
          <w:tcPr>
            <w:tcW w:type="dxa" w:w="1728"/>
          </w:tcPr>
          <w:p>
            <w:r>
              <w:rPr>
                <w:rFonts w:ascii="Calibri" w:hAnsi="Calibri"/>
                <w:sz w:val="22"/>
              </w:rPr>
              <w:t>Roughly consistent YoY; Q2 core OpEx expected ~consistent with Q1 (~$1.1B)</w:t>
            </w:r>
          </w:p>
        </w:tc>
        <w:tc>
          <w:tcPr>
            <w:tcW w:type="dxa" w:w="1728"/>
          </w:tcPr>
          <w:p>
            <w:r>
              <w:rPr>
                <w:rFonts w:ascii="Calibri" w:hAnsi="Calibri"/>
                <w:sz w:val="22"/>
              </w:rPr>
              <w:t>Unchanged (standalone); Apellis adds commercial infrastructure costs</w:t>
            </w:r>
          </w:p>
        </w:tc>
        <w:tc>
          <w:tcPr>
            <w:tcW w:type="dxa" w:w="1728"/>
          </w:tcPr>
          <w:p>
            <w:r>
              <w:rPr>
                <w:rFonts w:ascii="Calibri" w:hAnsi="Calibri"/>
                <w:sz w:val="22"/>
              </w:rPr>
              <w:t>N/A — not in VA consensus</w:t>
            </w:r>
          </w:p>
        </w:tc>
        <w:tc>
          <w:tcPr>
            <w:tcW w:type="dxa" w:w="1728"/>
          </w:tcPr>
          <w:p>
            <w:r>
              <w:rPr>
                <w:rFonts w:ascii="Calibri" w:hAnsi="Calibri"/>
                <w:sz w:val="22"/>
              </w:rPr>
              <w:t>Pre-launch investments in lupus/nephrology ongoing; DTC for VUMERITY and ZURZUVAE; Apellis SG&amp;A to be consolidated from May 14</w:t>
            </w:r>
          </w:p>
        </w:tc>
      </w:tr>
      <w:tr>
        <w:tc>
          <w:tcPr>
            <w:tcW w:type="dxa" w:w="1728"/>
          </w:tcPr>
          <w:p>
            <w:r>
              <w:rPr>
                <w:rFonts w:ascii="Calibri" w:hAnsi="Calibri"/>
                <w:sz w:val="22"/>
              </w:rPr>
              <w:t>FY2026 Non-GAAP Tax Rate</w:t>
            </w:r>
          </w:p>
        </w:tc>
        <w:tc>
          <w:tcPr>
            <w:tcW w:type="dxa" w:w="1728"/>
          </w:tcPr>
          <w:p>
            <w:r>
              <w:rPr>
                <w:rFonts w:ascii="Calibri" w:hAnsi="Calibri"/>
                <w:sz w:val="22"/>
              </w:rPr>
              <w:t>17%–18%</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Q1 actual was 15.3% (favorable foreign tax settlement + RSU vesting); full-year rate expected to normalize to 17–18%</w:t>
            </w:r>
          </w:p>
        </w:tc>
      </w:tr>
      <w:tr>
        <w:tc>
          <w:tcPr>
            <w:tcW w:type="dxa" w:w="1728"/>
          </w:tcPr>
          <w:p>
            <w:r>
              <w:rPr>
                <w:rFonts w:ascii="Calibri" w:hAnsi="Calibri"/>
                <w:sz w:val="22"/>
              </w:rPr>
              <w:t>Apellis / Other Income (Expense) Impact</w:t>
            </w:r>
          </w:p>
        </w:tc>
        <w:tc>
          <w:tcPr>
            <w:tcW w:type="dxa" w:w="1728"/>
          </w:tcPr>
          <w:p>
            <w:r>
              <w:rPr>
                <w:rFonts w:ascii="Calibri" w:hAnsi="Calibri"/>
                <w:sz w:val="22"/>
              </w:rPr>
              <w:t>~$120–130M drag to non-GAAP other income/expense in 2026 (financing + foregone interest)</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Funded with $3.6B cash + $2B bank borrowings; $2B to be repaid by end of 2027; accretive to non-GAAP EPS in 2027</w:t>
            </w:r>
          </w:p>
        </w:tc>
      </w:tr>
      <w:tr>
        <w:tc>
          <w:tcPr>
            <w:tcW w:type="dxa" w:w="1728"/>
          </w:tcPr>
          <w:p>
            <w:r>
              <w:rPr>
                <w:rFonts w:ascii="Calibri" w:hAnsi="Calibri"/>
                <w:sz w:val="22"/>
              </w:rPr>
              <w:t>SYFOVRE + EMPAVELI Revenue Growth</w:t>
            </w:r>
          </w:p>
        </w:tc>
        <w:tc>
          <w:tcPr>
            <w:tcW w:type="dxa" w:w="1728"/>
          </w:tcPr>
          <w:p>
            <w:r>
              <w:rPr>
                <w:rFonts w:ascii="Calibri" w:hAnsi="Calibri"/>
                <w:sz w:val="22"/>
              </w:rPr>
              <w:t>Mid-to-high teen % growth for at least 2 years post-close</w:t>
            </w:r>
          </w:p>
        </w:tc>
        <w:tc>
          <w:tcPr>
            <w:tcW w:type="dxa" w:w="1728"/>
          </w:tcPr>
          <w:p>
            <w:r>
              <w:rPr>
                <w:rFonts w:ascii="Calibri" w:hAnsi="Calibri"/>
                <w:sz w:val="22"/>
              </w:rPr>
              <w:t>Unchanged</w:t>
            </w:r>
          </w:p>
        </w:tc>
        <w:tc>
          <w:tcPr>
            <w:tcW w:type="dxa" w:w="1728"/>
          </w:tcPr>
          <w:p>
            <w:r>
              <w:rPr>
                <w:rFonts w:ascii="Calibri" w:hAnsi="Calibri"/>
                <w:sz w:val="22"/>
              </w:rPr>
              <w:t>~$130–150M Q2 est. (first consolidated quarter)</w:t>
            </w:r>
          </w:p>
        </w:tc>
        <w:tc>
          <w:tcPr>
            <w:tcW w:type="dxa" w:w="1728"/>
          </w:tcPr>
          <w:p>
            <w:r>
              <w:rPr>
                <w:rFonts w:ascii="Calibri" w:hAnsi="Calibri"/>
                <w:sz w:val="22"/>
              </w:rPr>
              <w:t>First consolidated guidance to be provided on Q2 call; DTC investment planned for SYFOVRE</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EPS have been revised sharply lower since Q1 earnings — from ~$3.13 to ~$2.88 — entirely driven by the pre-disclosed IPR&amp;D charges, not underlying business deterioration. Revenue estimates have been revised modestly higher, reflecting Apellis consolidation. </w:t>
      </w:r>
      <w:r>
        <w:rPr>
          <w:rFonts w:ascii="Calibri" w:hAnsi="Calibri"/>
          <w:b/>
          <w:color w:val="525866"/>
          <w:sz w:val="22"/>
        </w:rPr>
        <w:t>The gap between the standalone FY2026 EPS guide ($14.25–$15.25) and current consensus (~$12.60) reflects the market pricing in additional IPR&amp;D charges (Q3 flagged at $1.75–$1.95/share) and Apellis financing drag.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$2,421M</w:t>
            </w:r>
          </w:p>
        </w:tc>
        <w:tc>
          <w:tcPr>
            <w:tcW w:type="dxa" w:w="1080"/>
          </w:tcPr>
          <w:p>
            <w:r>
              <w:rPr>
                <w:rFonts w:ascii="Calibri" w:hAnsi="Calibri"/>
                <w:sz w:val="22"/>
              </w:rPr>
              <w:t>$2,456M</w:t>
            </w:r>
          </w:p>
        </w:tc>
        <w:tc>
          <w:tcPr>
            <w:tcW w:type="dxa" w:w="1080"/>
          </w:tcPr>
          <w:p>
            <w:r>
              <w:rPr>
                <w:rFonts w:ascii="Calibri" w:hAnsi="Calibri"/>
                <w:b/>
                <w:color w:val="30A46C"/>
                <w:sz w:val="22"/>
              </w:rPr>
              <w:t>+1.4%</w:t>
            </w:r>
          </w:p>
        </w:tc>
        <w:tc>
          <w:tcPr>
            <w:tcW w:type="dxa" w:w="1080"/>
          </w:tcPr>
          <w:p>
            <w:r>
              <w:rPr>
                <w:rFonts w:ascii="Calibri" w:hAnsi="Calibri"/>
                <w:sz w:val="22"/>
              </w:rPr>
              <w:t>Mid-SD% decline FY (standalone)</w:t>
            </w:r>
          </w:p>
        </w:tc>
        <w:tc>
          <w:tcPr>
            <w:tcW w:type="dxa" w:w="1080"/>
          </w:tcPr>
          <w:p>
            <w:r>
              <w:rPr>
                <w:rFonts w:ascii="Calibri" w:hAnsi="Calibri"/>
                <w:sz w:val="22"/>
              </w:rPr>
              <w:t>Unchanged (standalone); first consolidated guide at Q2 call</w:t>
            </w:r>
          </w:p>
        </w:tc>
        <w:tc>
          <w:tcPr>
            <w:tcW w:type="dxa" w:w="1080"/>
          </w:tcPr>
          <w:p>
            <w:r>
              <w:rPr>
                <w:rFonts w:ascii="Calibri" w:hAnsi="Calibri"/>
                <w:sz w:val="22"/>
              </w:rPr>
              <w:t>N/A</w:t>
            </w:r>
          </w:p>
        </w:tc>
        <w:tc>
          <w:tcPr>
            <w:tcW w:type="dxa" w:w="1080"/>
          </w:tcPr>
          <w:p>
            <w:r>
              <w:rPr>
                <w:rFonts w:ascii="Calibri" w:hAnsi="Calibri"/>
                <w:sz w:val="22"/>
              </w:rPr>
              <w:t>N/A — first Apellis-consolidated quarter</w:t>
            </w:r>
          </w:p>
        </w:tc>
      </w:tr>
      <w:tr>
        <w:tc>
          <w:tcPr>
            <w:tcW w:type="dxa" w:w="1080"/>
          </w:tcPr>
          <w:p>
            <w:r>
              <w:rPr>
                <w:rFonts w:ascii="Calibri" w:hAnsi="Calibri"/>
                <w:sz w:val="22"/>
              </w:rPr>
              <w:t>Non-GAAP EPS — Q2 2026</w:t>
            </w:r>
          </w:p>
        </w:tc>
        <w:tc>
          <w:tcPr>
            <w:tcW w:type="dxa" w:w="1080"/>
          </w:tcPr>
          <w:p>
            <w:r>
              <w:rPr>
                <w:rFonts w:ascii="Calibri" w:hAnsi="Calibri"/>
                <w:sz w:val="22"/>
              </w:rPr>
              <w:t>$3.13</w:t>
            </w:r>
          </w:p>
        </w:tc>
        <w:tc>
          <w:tcPr>
            <w:tcW w:type="dxa" w:w="1080"/>
          </w:tcPr>
          <w:p>
            <w:r>
              <w:rPr>
                <w:rFonts w:ascii="Calibri" w:hAnsi="Calibri"/>
                <w:sz w:val="22"/>
              </w:rPr>
              <w:t>$2.88</w:t>
            </w:r>
          </w:p>
        </w:tc>
        <w:tc>
          <w:tcPr>
            <w:tcW w:type="dxa" w:w="1080"/>
          </w:tcPr>
          <w:p>
            <w:r>
              <w:rPr>
                <w:rFonts w:ascii="Calibri" w:hAnsi="Calibri"/>
                <w:b/>
                <w:color w:val="E5484D"/>
                <w:sz w:val="22"/>
              </w:rPr>
              <w:t>-8.0%</w:t>
            </w:r>
          </w:p>
        </w:tc>
        <w:tc>
          <w:tcPr>
            <w:tcW w:type="dxa" w:w="1080"/>
          </w:tcPr>
          <w:p>
            <w:r>
              <w:rPr>
                <w:rFonts w:ascii="Calibri" w:hAnsi="Calibri"/>
                <w:sz w:val="22"/>
              </w:rPr>
              <w:t>FY $14.25–$15.25 (incl. ~$1.00 IPR&amp;D)</w:t>
            </w:r>
          </w:p>
        </w:tc>
        <w:tc>
          <w:tcPr>
            <w:tcW w:type="dxa" w:w="1080"/>
          </w:tcPr>
          <w:p>
            <w:r>
              <w:rPr>
                <w:rFonts w:ascii="Calibri" w:hAnsi="Calibri"/>
                <w:sz w:val="22"/>
              </w:rPr>
              <w:t>Q2 IPR&amp;D ~$0.95/share pre-disclosed (8-K Jul 1)</w:t>
            </w:r>
          </w:p>
        </w:tc>
        <w:tc>
          <w:tcPr>
            <w:tcW w:type="dxa" w:w="1080"/>
          </w:tcPr>
          <w:p>
            <w:r>
              <w:rPr>
                <w:rFonts w:ascii="Calibri" w:hAnsi="Calibri"/>
                <w:sz w:val="22"/>
              </w:rPr>
              <w:t>↓ ~$0.25/share vs. initial Q2 embedded estimate</w:t>
            </w:r>
          </w:p>
        </w:tc>
        <w:tc>
          <w:tcPr>
            <w:tcW w:type="dxa" w:w="1080"/>
          </w:tcPr>
          <w:p>
            <w:r>
              <w:rPr>
                <w:rFonts w:ascii="Calibri" w:hAnsi="Calibri"/>
                <w:sz w:val="22"/>
              </w:rPr>
              <w:t>Consensus below guide midpoint; IPR&amp;D drag fully embedded</w:t>
            </w:r>
          </w:p>
        </w:tc>
      </w:tr>
      <w:tr>
        <w:tc>
          <w:tcPr>
            <w:tcW w:type="dxa" w:w="1080"/>
          </w:tcPr>
          <w:p>
            <w:r>
              <w:rPr>
                <w:rFonts w:ascii="Calibri" w:hAnsi="Calibri"/>
                <w:sz w:val="22"/>
              </w:rPr>
              <w:t>LEQEMBI Revenue — Q2 2026</w:t>
            </w:r>
          </w:p>
        </w:tc>
        <w:tc>
          <w:tcPr>
            <w:tcW w:type="dxa" w:w="1080"/>
          </w:tcPr>
          <w:p>
            <w:r>
              <w:rPr>
                <w:rFonts w:ascii="Calibri" w:hAnsi="Calibri"/>
                <w:sz w:val="22"/>
              </w:rPr>
              <w:t>$177M</w:t>
            </w:r>
          </w:p>
        </w:tc>
        <w:tc>
          <w:tcPr>
            <w:tcW w:type="dxa" w:w="1080"/>
          </w:tcPr>
          <w:p>
            <w:r>
              <w:rPr>
                <w:rFonts w:ascii="Calibri" w:hAnsi="Calibri"/>
                <w:sz w:val="22"/>
              </w:rPr>
              <w:t>$178M</w:t>
            </w:r>
          </w:p>
        </w:tc>
        <w:tc>
          <w:tcPr>
            <w:tcW w:type="dxa" w:w="1080"/>
          </w:tcPr>
          <w:p>
            <w:r>
              <w:rPr>
                <w:rFonts w:ascii="Calibri" w:hAnsi="Calibri"/>
                <w:sz w:val="22"/>
              </w:rPr>
              <w:t>+0.6%</w:t>
            </w:r>
          </w:p>
        </w:tc>
        <w:tc>
          <w:tcPr>
            <w:tcW w:type="dxa" w:w="1080"/>
          </w:tcPr>
          <w:p>
            <w:r>
              <w:rPr>
                <w:rFonts w:ascii="Calibri" w:hAnsi="Calibri"/>
                <w:sz w:val="22"/>
              </w:rPr>
              <w:t>Sequential growth expected; IQLIK subcu initiation approved May 2026</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Consensus in line with trajectory; 2H acceleration dependent on subcu adoption and Part D reimbursement (Jan 2027)</w:t>
            </w:r>
          </w:p>
        </w:tc>
      </w:tr>
      <w:tr>
        <w:tc>
          <w:tcPr>
            <w:tcW w:type="dxa" w:w="1080"/>
          </w:tcPr>
          <w:p>
            <w:r>
              <w:rPr>
                <w:rFonts w:ascii="Calibri" w:hAnsi="Calibri"/>
                <w:sz w:val="22"/>
              </w:rPr>
              <w:t>SPINRAZA Revenue — Q2 2026</w:t>
            </w:r>
          </w:p>
        </w:tc>
        <w:tc>
          <w:tcPr>
            <w:tcW w:type="dxa" w:w="1080"/>
          </w:tcPr>
          <w:p>
            <w:r>
              <w:rPr>
                <w:rFonts w:ascii="Calibri" w:hAnsi="Calibri"/>
                <w:sz w:val="22"/>
              </w:rPr>
              <w:t>$380M</w:t>
            </w:r>
          </w:p>
        </w:tc>
        <w:tc>
          <w:tcPr>
            <w:tcW w:type="dxa" w:w="1080"/>
          </w:tcPr>
          <w:p>
            <w:r>
              <w:rPr>
                <w:rFonts w:ascii="Calibri" w:hAnsi="Calibri"/>
                <w:sz w:val="22"/>
              </w:rPr>
              <w:t>$385M</w:t>
            </w:r>
          </w:p>
        </w:tc>
        <w:tc>
          <w:tcPr>
            <w:tcW w:type="dxa" w:w="1080"/>
          </w:tcPr>
          <w:p>
            <w:r>
              <w:rPr>
                <w:rFonts w:ascii="Calibri" w:hAnsi="Calibri"/>
                <w:b/>
                <w:color w:val="30A46C"/>
                <w:sz w:val="22"/>
              </w:rPr>
              <w:t>+1.3%</w:t>
            </w:r>
          </w:p>
        </w:tc>
        <w:tc>
          <w:tcPr>
            <w:tcW w:type="dxa" w:w="1080"/>
          </w:tcPr>
          <w:p>
            <w:r>
              <w:rPr>
                <w:rFonts w:ascii="Calibri" w:hAnsi="Calibri"/>
                <w:sz w:val="22"/>
              </w:rPr>
              <w:t>HD launch in US (Apr 2026); ~20% start forms in first month</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Consensus slightly above post-Q1 baseline; HD ramp could drive upside</w:t>
            </w:r>
          </w:p>
        </w:tc>
      </w:tr>
      <w:tr>
        <w:tc>
          <w:tcPr>
            <w:tcW w:type="dxa" w:w="1080"/>
          </w:tcPr>
          <w:p>
            <w:r>
              <w:rPr>
                <w:rFonts w:ascii="Calibri" w:hAnsi="Calibri"/>
                <w:sz w:val="22"/>
              </w:rPr>
              <w:t>SKYCLARYS Revenue — Q2 2026</w:t>
            </w:r>
          </w:p>
        </w:tc>
        <w:tc>
          <w:tcPr>
            <w:tcW w:type="dxa" w:w="1080"/>
          </w:tcPr>
          <w:p>
            <w:r>
              <w:rPr>
                <w:rFonts w:ascii="Calibri" w:hAnsi="Calibri"/>
                <w:sz w:val="22"/>
              </w:rPr>
              <w:t>$156M</w:t>
            </w:r>
          </w:p>
        </w:tc>
        <w:tc>
          <w:tcPr>
            <w:tcW w:type="dxa" w:w="1080"/>
          </w:tcPr>
          <w:p>
            <w:r>
              <w:rPr>
                <w:rFonts w:ascii="Calibri" w:hAnsi="Calibri"/>
                <w:sz w:val="22"/>
              </w:rPr>
              <w:t>$157M</w:t>
            </w:r>
          </w:p>
        </w:tc>
        <w:tc>
          <w:tcPr>
            <w:tcW w:type="dxa" w:w="1080"/>
          </w:tcPr>
          <w:p>
            <w:r>
              <w:rPr>
                <w:rFonts w:ascii="Calibri" w:hAnsi="Calibri"/>
                <w:sz w:val="22"/>
              </w:rPr>
              <w:t>+0.6%</w:t>
            </w:r>
          </w:p>
        </w:tc>
        <w:tc>
          <w:tcPr>
            <w:tcW w:type="dxa" w:w="1080"/>
          </w:tcPr>
          <w:p>
            <w:r>
              <w:rPr>
                <w:rFonts w:ascii="Calibri" w:hAnsi="Calibri"/>
                <w:sz w:val="22"/>
              </w:rPr>
              <w:t>Ex-US exceeds US; 35 countries; Brazil launch 2026</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Consensus in line; ex-US reimbursement timing creates lumpiness risk</w:t>
            </w:r>
          </w:p>
        </w:tc>
      </w:tr>
      <w:tr>
        <w:tc>
          <w:tcPr>
            <w:tcW w:type="dxa" w:w="1080"/>
          </w:tcPr>
          <w:p>
            <w:r>
              <w:rPr>
                <w:rFonts w:ascii="Calibri" w:hAnsi="Calibri"/>
                <w:sz w:val="22"/>
              </w:rPr>
              <w:t>Total Revenue — FY2026</w:t>
            </w:r>
          </w:p>
        </w:tc>
        <w:tc>
          <w:tcPr>
            <w:tcW w:type="dxa" w:w="1080"/>
          </w:tcPr>
          <w:p>
            <w:r>
              <w:rPr>
                <w:rFonts w:ascii="Calibri" w:hAnsi="Calibri"/>
                <w:sz w:val="22"/>
              </w:rPr>
              <w:t>$9,889M</w:t>
            </w:r>
          </w:p>
        </w:tc>
        <w:tc>
          <w:tcPr>
            <w:tcW w:type="dxa" w:w="1080"/>
          </w:tcPr>
          <w:p>
            <w:r>
              <w:rPr>
                <w:rFonts w:ascii="Calibri" w:hAnsi="Calibri"/>
                <w:sz w:val="22"/>
              </w:rPr>
              <w:t>$10,033M</w:t>
            </w:r>
          </w:p>
        </w:tc>
        <w:tc>
          <w:tcPr>
            <w:tcW w:type="dxa" w:w="1080"/>
          </w:tcPr>
          <w:p>
            <w:r>
              <w:rPr>
                <w:rFonts w:ascii="Calibri" w:hAnsi="Calibri"/>
                <w:b/>
                <w:color w:val="30A46C"/>
                <w:sz w:val="22"/>
              </w:rPr>
              <w:t>+1.5%</w:t>
            </w:r>
          </w:p>
        </w:tc>
        <w:tc>
          <w:tcPr>
            <w:tcW w:type="dxa" w:w="1080"/>
          </w:tcPr>
          <w:p>
            <w:r>
              <w:rPr>
                <w:rFonts w:ascii="Calibri" w:hAnsi="Calibri"/>
                <w:sz w:val="22"/>
              </w:rPr>
              <w:t>Mid-SD% decline (standalone)</w:t>
            </w:r>
          </w:p>
        </w:tc>
        <w:tc>
          <w:tcPr>
            <w:tcW w:type="dxa" w:w="1080"/>
          </w:tcPr>
          <w:p>
            <w:r>
              <w:rPr>
                <w:rFonts w:ascii="Calibri" w:hAnsi="Calibri"/>
                <w:sz w:val="22"/>
              </w:rPr>
              <w:t>First consolidated guide at Q2 call</w:t>
            </w:r>
          </w:p>
        </w:tc>
        <w:tc>
          <w:tcPr>
            <w:tcW w:type="dxa" w:w="1080"/>
          </w:tcPr>
          <w:p>
            <w:r>
              <w:rPr>
                <w:rFonts w:ascii="Calibri" w:hAnsi="Calibri"/>
                <w:sz w:val="22"/>
              </w:rPr>
              <w:t>↑ Apellis adds ~$500–600M to FY2026 (partial year)</w:t>
            </w:r>
          </w:p>
        </w:tc>
        <w:tc>
          <w:tcPr>
            <w:tcW w:type="dxa" w:w="1080"/>
          </w:tcPr>
          <w:p>
            <w:r>
              <w:rPr>
                <w:rFonts w:ascii="Calibri" w:hAnsi="Calibri"/>
                <w:sz w:val="22"/>
              </w:rPr>
              <w:t>Consensus above standalone guide; Apellis consolidation explains the gap</w:t>
            </w:r>
          </w:p>
        </w:tc>
      </w:tr>
      <w:tr>
        <w:tc>
          <w:tcPr>
            <w:tcW w:type="dxa" w:w="1080"/>
          </w:tcPr>
          <w:p>
            <w:r>
              <w:rPr>
                <w:rFonts w:ascii="Calibri" w:hAnsi="Calibri"/>
                <w:sz w:val="22"/>
              </w:rPr>
              <w:t>Non-GAAP EPS — FY2026</w:t>
            </w:r>
          </w:p>
        </w:tc>
        <w:tc>
          <w:tcPr>
            <w:tcW w:type="dxa" w:w="1080"/>
          </w:tcPr>
          <w:p>
            <w:r>
              <w:rPr>
                <w:rFonts w:ascii="Calibri" w:hAnsi="Calibri"/>
                <w:sz w:val="22"/>
              </w:rPr>
              <w:t>$14.62</w:t>
            </w:r>
          </w:p>
        </w:tc>
        <w:tc>
          <w:tcPr>
            <w:tcW w:type="dxa" w:w="1080"/>
          </w:tcPr>
          <w:p>
            <w:r>
              <w:rPr>
                <w:rFonts w:ascii="Calibri" w:hAnsi="Calibri"/>
                <w:sz w:val="22"/>
              </w:rPr>
              <w:t>$12.60</w:t>
            </w:r>
          </w:p>
        </w:tc>
        <w:tc>
          <w:tcPr>
            <w:tcW w:type="dxa" w:w="1080"/>
          </w:tcPr>
          <w:p>
            <w:r>
              <w:rPr>
                <w:rFonts w:ascii="Calibri" w:hAnsi="Calibri"/>
                <w:b/>
                <w:color w:val="E5484D"/>
                <w:sz w:val="22"/>
              </w:rPr>
              <w:t>-13.8%</w:t>
            </w:r>
          </w:p>
        </w:tc>
        <w:tc>
          <w:tcPr>
            <w:tcW w:type="dxa" w:w="1080"/>
          </w:tcPr>
          <w:p>
            <w:r>
              <w:rPr>
                <w:rFonts w:ascii="Calibri" w:hAnsi="Calibri"/>
                <w:sz w:val="22"/>
              </w:rPr>
              <w:t>$14.25–$15.25 (standalone, incl. ~$1.00 IPR&amp;D)</w:t>
            </w:r>
          </w:p>
        </w:tc>
        <w:tc>
          <w:tcPr>
            <w:tcW w:type="dxa" w:w="1080"/>
          </w:tcPr>
          <w:p>
            <w:r>
              <w:rPr>
                <w:rFonts w:ascii="Calibri" w:hAnsi="Calibri"/>
                <w:sz w:val="22"/>
              </w:rPr>
              <w:t>Q3 IPR&amp;D flagged at $1.75–$1.95/share; Apellis financing drag ~$120–130M</w:t>
            </w:r>
          </w:p>
        </w:tc>
        <w:tc>
          <w:tcPr>
            <w:tcW w:type="dxa" w:w="1080"/>
          </w:tcPr>
          <w:p>
            <w:r>
              <w:rPr>
                <w:rFonts w:ascii="Calibri" w:hAnsi="Calibri"/>
                <w:sz w:val="22"/>
              </w:rPr>
              <w:t>↓ Significant; Q3 IPR&amp;D + Apellis drag not in original guide</w:t>
            </w:r>
          </w:p>
        </w:tc>
        <w:tc>
          <w:tcPr>
            <w:tcW w:type="dxa" w:w="1080"/>
          </w:tcPr>
          <w:p>
            <w:r>
              <w:rPr>
                <w:rFonts w:ascii="Calibri" w:hAnsi="Calibri"/>
                <w:sz w:val="22"/>
              </w:rPr>
              <w:t>Consensus well below standalone guide; gap = Q3 IPR&amp;D + Apellis financing drag + integration costs</w:t>
            </w:r>
          </w:p>
        </w:tc>
      </w:tr>
    </w:tbl>
    <w:p>
      <w:r>
        <w:rPr>
          <w:rFonts w:ascii="Calibri" w:hAnsi="Calibri"/>
          <w:b/>
          <w:color w:val="525866"/>
          <w:sz w:val="22"/>
        </w:rPr>
        <w:t xml:space="preserve">Note: </w:t>
      </w:r>
      <w:r>
        <w:rPr>
          <w:rFonts w:ascii="Calibri" w:hAnsi="Calibri"/>
          <w:color w:val="525866"/>
          <w:sz w:val="22"/>
        </w:rPr>
        <w:t>The FY2026 EPS consensus gap vs. the standalone guide is not a sign of business deterioration — it reflects (1) the pre-disclosed Q3 IPR&amp;D charges ($1.75–$1.95/share) for potential milestones/transactions not yet closed, (2) the Apellis financing drag (~$120–130M to other income/expense), and (3) integration costs. The underlying business EPS trajectory is intact.</w:t>
      </w:r>
    </w:p>
    <w:p>
      <w:r>
        <w:rPr>
          <w:rFonts w:ascii="Calibri" w:hAnsi="Calibri"/>
          <w:b/>
          <w:color w:val="525866"/>
          <w:sz w:val="22"/>
        </w:rPr>
        <w:t xml:space="preserve">Source: </w:t>
      </w:r>
      <w:r>
        <w:rPr>
          <w:rFonts w:ascii="Calibri" w:hAnsi="Calibri"/>
          <w:color w:val="525866"/>
          <w:sz w:val="22"/>
        </w:rPr>
        <w:t>Visible Alpha Consensus and Actuals Data; Biogen Q1 2026 Earnings Release (April 29, 2026); Biogen 8-K (July 1,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BIIB has underperformed XBI meaningfully since Q1 earnings (+6% vs. +16% for XBI), with the stock’s 12-month re-rating (+57%) driven almost entirely by multiple expansion (P/E from 8.8x to 13.5x NTM) rather than estimate revisions. The underperformance since April 29 reflects the BIIB080 CELIA primary endpoint miss at AAIC (July 14 sharp selloff) and investor caution around Apellis integration complexity, creating a potential setup for re-rating if Q2 commentary is constructive.</w:t>
      </w:r>
    </w:p>
    <w:p>
      <w:pPr>
        <w:pStyle w:val="Heading2"/>
      </w:pPr>
      <w:r>
        <w:rPr>
          <w:rFonts w:ascii="Calibri" w:hAnsi="Calibri"/>
          <w:b/>
          <w:color w:val="3B4259"/>
          <w:sz w:val="28"/>
        </w:rPr>
        <w:t>BIIB vs. XBI vs. S&amp;P 500 — Indexed Performance Since April 29, 2026 (Last Earnings)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BIIB (Indexed)</w:t>
            </w:r>
          </w:p>
        </w:tc>
        <w:tc>
          <w:tcPr>
            <w:tcW w:type="dxa" w:w="2160"/>
            <w:shd w:val="clear" w:color="auto" w:fill="3B4259"/>
          </w:tcPr>
          <w:p>
            <w:r>
              <w:rPr>
                <w:rFonts w:ascii="Calibri" w:hAnsi="Calibri"/>
                <w:b/>
                <w:color w:val="FFFFFF"/>
                <w:sz w:val="22"/>
              </w:rPr>
              <w:t>XBI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13, 2026 (IQLIK Approval)</w:t>
            </w:r>
          </w:p>
        </w:tc>
        <w:tc>
          <w:tcPr>
            <w:tcW w:type="dxa" w:w="2160"/>
          </w:tcPr>
          <w:p>
            <w:r>
              <w:rPr>
                <w:rFonts w:ascii="Calibri" w:hAnsi="Calibri"/>
                <w:sz w:val="22"/>
              </w:rPr>
              <w:t>105.2</w:t>
            </w:r>
          </w:p>
        </w:tc>
        <w:tc>
          <w:tcPr>
            <w:tcW w:type="dxa" w:w="2160"/>
          </w:tcPr>
          <w:p>
            <w:r>
              <w:rPr>
                <w:rFonts w:ascii="Calibri" w:hAnsi="Calibri"/>
                <w:sz w:val="22"/>
              </w:rPr>
              <w:t>104.6</w:t>
            </w:r>
          </w:p>
        </w:tc>
        <w:tc>
          <w:tcPr>
            <w:tcW w:type="dxa" w:w="2160"/>
          </w:tcPr>
          <w:p>
            <w:r>
              <w:rPr>
                <w:rFonts w:ascii="Calibri" w:hAnsi="Calibri"/>
                <w:sz w:val="22"/>
              </w:rPr>
              <w:t>104.0</w:t>
            </w:r>
          </w:p>
        </w:tc>
      </w:tr>
      <w:tr>
        <w:tc>
          <w:tcPr>
            <w:tcW w:type="dxa" w:w="2160"/>
          </w:tcPr>
          <w:p>
            <w:r>
              <w:rPr>
                <w:rFonts w:ascii="Calibri" w:hAnsi="Calibri"/>
                <w:sz w:val="22"/>
              </w:rPr>
              <w:t>May 14, 2026 (Apellis Close)</w:t>
            </w:r>
          </w:p>
        </w:tc>
        <w:tc>
          <w:tcPr>
            <w:tcW w:type="dxa" w:w="2160"/>
          </w:tcPr>
          <w:p>
            <w:r>
              <w:rPr>
                <w:rFonts w:ascii="Calibri" w:hAnsi="Calibri"/>
                <w:sz w:val="22"/>
              </w:rPr>
              <w:t>98.5</w:t>
            </w:r>
          </w:p>
        </w:tc>
        <w:tc>
          <w:tcPr>
            <w:tcW w:type="dxa" w:w="2160"/>
          </w:tcPr>
          <w:p>
            <w:r>
              <w:rPr>
                <w:rFonts w:ascii="Calibri" w:hAnsi="Calibri"/>
                <w:sz w:val="22"/>
              </w:rPr>
              <w:t>104.6</w:t>
            </w:r>
          </w:p>
        </w:tc>
        <w:tc>
          <w:tcPr>
            <w:tcW w:type="dxa" w:w="2160"/>
          </w:tcPr>
          <w:p>
            <w:r>
              <w:rPr>
                <w:rFonts w:ascii="Calibri" w:hAnsi="Calibri"/>
                <w:sz w:val="22"/>
              </w:rPr>
              <w:t>105.1</w:t>
            </w:r>
          </w:p>
        </w:tc>
      </w:tr>
      <w:tr>
        <w:tc>
          <w:tcPr>
            <w:tcW w:type="dxa" w:w="2160"/>
          </w:tcPr>
          <w:p>
            <w:r>
              <w:rPr>
                <w:rFonts w:ascii="Calibri" w:hAnsi="Calibri"/>
                <w:sz w:val="22"/>
              </w:rPr>
              <w:t>Jun 26, 2026 (AAIC / Dapi Ph3 Data)</w:t>
            </w:r>
          </w:p>
        </w:tc>
        <w:tc>
          <w:tcPr>
            <w:tcW w:type="dxa" w:w="2160"/>
          </w:tcPr>
          <w:p>
            <w:r>
              <w:rPr>
                <w:rFonts w:ascii="Calibri" w:hAnsi="Calibri"/>
                <w:sz w:val="22"/>
              </w:rPr>
              <w:t>111.1</w:t>
            </w:r>
          </w:p>
        </w:tc>
        <w:tc>
          <w:tcPr>
            <w:tcW w:type="dxa" w:w="2160"/>
          </w:tcPr>
          <w:p>
            <w:r>
              <w:rPr>
                <w:rFonts w:ascii="Calibri" w:hAnsi="Calibri"/>
                <w:sz w:val="22"/>
              </w:rPr>
              <w:t>120.6</w:t>
            </w:r>
          </w:p>
        </w:tc>
        <w:tc>
          <w:tcPr>
            <w:tcW w:type="dxa" w:w="2160"/>
          </w:tcPr>
          <w:p>
            <w:r>
              <w:rPr>
                <w:rFonts w:ascii="Calibri" w:hAnsi="Calibri"/>
                <w:sz w:val="22"/>
              </w:rPr>
              <w:t>102.4</w:t>
            </w:r>
          </w:p>
        </w:tc>
      </w:tr>
      <w:tr>
        <w:tc>
          <w:tcPr>
            <w:tcW w:type="dxa" w:w="2160"/>
          </w:tcPr>
          <w:p>
            <w:r>
              <w:rPr>
                <w:rFonts w:ascii="Calibri" w:hAnsi="Calibri"/>
                <w:sz w:val="22"/>
              </w:rPr>
              <w:t>Jul 1, 2026 (8-K IPR&amp;D Pre-Disclosure)</w:t>
            </w:r>
          </w:p>
        </w:tc>
        <w:tc>
          <w:tcPr>
            <w:tcW w:type="dxa" w:w="2160"/>
          </w:tcPr>
          <w:p>
            <w:r>
              <w:rPr>
                <w:rFonts w:ascii="Calibri" w:hAnsi="Calibri"/>
                <w:sz w:val="22"/>
              </w:rPr>
              <w:t>107.9</w:t>
            </w:r>
          </w:p>
        </w:tc>
        <w:tc>
          <w:tcPr>
            <w:tcW w:type="dxa" w:w="2160"/>
          </w:tcPr>
          <w:p>
            <w:r>
              <w:rPr>
                <w:rFonts w:ascii="Calibri" w:hAnsi="Calibri"/>
                <w:sz w:val="22"/>
              </w:rPr>
              <w:t>121.5</w:t>
            </w:r>
          </w:p>
        </w:tc>
        <w:tc>
          <w:tcPr>
            <w:tcW w:type="dxa" w:w="2160"/>
          </w:tcPr>
          <w:p>
            <w:r>
              <w:rPr>
                <w:rFonts w:ascii="Calibri" w:hAnsi="Calibri"/>
                <w:sz w:val="22"/>
              </w:rPr>
              <w:t>104.8</w:t>
            </w:r>
          </w:p>
        </w:tc>
      </w:tr>
      <w:tr>
        <w:tc>
          <w:tcPr>
            <w:tcW w:type="dxa" w:w="2160"/>
          </w:tcPr>
          <w:p>
            <w:r>
              <w:rPr>
                <w:rFonts w:ascii="Calibri" w:hAnsi="Calibri"/>
                <w:sz w:val="22"/>
              </w:rPr>
              <w:t>Jul 14, 2026 (BIIB080 CELIA Selloff)</w:t>
            </w:r>
          </w:p>
        </w:tc>
        <w:tc>
          <w:tcPr>
            <w:tcW w:type="dxa" w:w="2160"/>
          </w:tcPr>
          <w:p>
            <w:r>
              <w:rPr>
                <w:rFonts w:ascii="Calibri" w:hAnsi="Calibri"/>
                <w:sz w:val="22"/>
              </w:rPr>
              <w:t>98.8</w:t>
            </w:r>
          </w:p>
        </w:tc>
        <w:tc>
          <w:tcPr>
            <w:tcW w:type="dxa" w:w="2160"/>
          </w:tcPr>
          <w:p>
            <w:r>
              <w:rPr>
                <w:rFonts w:ascii="Calibri" w:hAnsi="Calibri"/>
                <w:sz w:val="22"/>
              </w:rPr>
              <w:t>120.7</w:t>
            </w:r>
          </w:p>
        </w:tc>
        <w:tc>
          <w:tcPr>
            <w:tcW w:type="dxa" w:w="2160"/>
          </w:tcPr>
          <w:p>
            <w:r>
              <w:rPr>
                <w:rFonts w:ascii="Calibri" w:hAnsi="Calibri"/>
                <w:sz w:val="22"/>
              </w:rPr>
              <w:t>105.6</w:t>
            </w:r>
          </w:p>
        </w:tc>
      </w:tr>
      <w:tr>
        <w:tc>
          <w:tcPr>
            <w:tcW w:type="dxa" w:w="2160"/>
          </w:tcPr>
          <w:p>
            <w:r>
              <w:rPr>
                <w:rFonts w:ascii="Calibri" w:hAnsi="Calibri"/>
                <w:sz w:val="22"/>
              </w:rPr>
              <w:t>Jul 28, 2026 (Pre-Earnings)</w:t>
            </w:r>
          </w:p>
        </w:tc>
        <w:tc>
          <w:tcPr>
            <w:tcW w:type="dxa" w:w="2160"/>
          </w:tcPr>
          <w:p>
            <w:r>
              <w:rPr>
                <w:rFonts w:ascii="Calibri" w:hAnsi="Calibri"/>
                <w:sz w:val="22"/>
              </w:rPr>
              <w:t>105.8</w:t>
            </w:r>
          </w:p>
        </w:tc>
        <w:tc>
          <w:tcPr>
            <w:tcW w:type="dxa" w:w="2160"/>
          </w:tcPr>
          <w:p>
            <w:r>
              <w:rPr>
                <w:rFonts w:ascii="Calibri" w:hAnsi="Calibri"/>
                <w:sz w:val="22"/>
              </w:rPr>
              <w:t>116.2</w:t>
            </w:r>
          </w:p>
        </w:tc>
        <w:tc>
          <w:tcPr>
            <w:tcW w:type="dxa" w:w="2160"/>
          </w:tcPr>
          <w:p>
            <w:r>
              <w:rPr>
                <w:rFonts w:ascii="Calibri" w:hAnsi="Calibri"/>
                <w:sz w:val="22"/>
              </w:rPr>
              <w:t>104.1</w:t>
            </w:r>
          </w:p>
        </w:tc>
      </w:tr>
    </w:tbl>
    <w:p>
      <w:r>
        <w:rPr>
          <w:rFonts w:ascii="Calibri" w:hAnsi="Calibri"/>
          <w:b/>
          <w:color w:val="525866"/>
          <w:sz w:val="22"/>
        </w:rPr>
        <w:t>Key Events Annotated:</w:t>
      </w:r>
    </w:p>
    <w:p>
      <w:pPr>
        <w:pStyle w:val="ListBullet"/>
        <w:ind w:left="360" w:hanging="360"/>
      </w:pPr>
      <w:r>
        <w:rPr>
          <w:rFonts w:ascii="Calibri" w:hAnsi="Calibri"/>
          <w:b/>
          <w:color w:val="525866"/>
          <w:sz w:val="22"/>
        </w:rPr>
        <w:t xml:space="preserve">May 13–14, 2026: </w:t>
      </w:r>
      <w:r>
        <w:rPr>
          <w:rFonts w:ascii="Calibri" w:hAnsi="Calibri"/>
          <w:color w:val="525866"/>
          <w:sz w:val="22"/>
        </w:rPr>
        <w:t>IQLIK (lecanemab subcu initiation) FDA approval; Apellis acquisition closes for ~$5.3B. Stock initially rallied on IQLIK approval then pulled back on Apellis financing concerns.</w:t>
      </w:r>
    </w:p>
    <w:p>
      <w:pPr>
        <w:pStyle w:val="ListBullet"/>
        <w:ind w:left="360" w:hanging="360"/>
      </w:pPr>
      <w:r>
        <w:rPr>
          <w:rFonts w:ascii="Calibri" w:hAnsi="Calibri"/>
          <w:b/>
          <w:color w:val="525866"/>
          <w:sz w:val="22"/>
        </w:rPr>
        <w:t xml:space="preserve">Jun 26, 2026: </w:t>
      </w:r>
      <w:r>
        <w:rPr>
          <w:rFonts w:ascii="Calibri" w:hAnsi="Calibri"/>
          <w:color w:val="525866"/>
          <w:sz w:val="22"/>
        </w:rPr>
        <w:t>AAIC conference — dapirolizumab Phase 3 SLE positive data (UCB/Biogen); stock rallied sharply (+7.5% on the day) as dapi became only the third positive Phase 3 SLE trial in history.</w:t>
      </w:r>
    </w:p>
    <w:p>
      <w:pPr>
        <w:pStyle w:val="ListBullet"/>
        <w:ind w:left="360" w:hanging="360"/>
      </w:pPr>
      <w:r>
        <w:rPr>
          <w:rFonts w:ascii="Calibri" w:hAnsi="Calibri"/>
          <w:b/>
          <w:color w:val="525866"/>
          <w:sz w:val="22"/>
        </w:rPr>
        <w:t xml:space="preserve">Jul 1, 2026: </w:t>
      </w:r>
      <w:r>
        <w:rPr>
          <w:rFonts w:ascii="Calibri" w:hAnsi="Calibri"/>
          <w:color w:val="525866"/>
          <w:sz w:val="22"/>
        </w:rPr>
        <w:t>8-K pre-disclosure of Q2 IPR&amp;D charges (~$164M / ~$0.95/share) and Q3 IPR&amp;D flag ($290–320M). Stock declined ~3% on the day.</w:t>
      </w:r>
    </w:p>
    <w:p>
      <w:pPr>
        <w:pStyle w:val="ListBullet"/>
        <w:ind w:left="360" w:hanging="360"/>
      </w:pPr>
      <w:r>
        <w:rPr>
          <w:rFonts w:ascii="Calibri" w:hAnsi="Calibri"/>
          <w:b/>
          <w:color w:val="525866"/>
          <w:sz w:val="22"/>
        </w:rPr>
        <w:t xml:space="preserve">Jul 14, 2026: </w:t>
      </w:r>
      <w:r>
        <w:rPr>
          <w:rFonts w:ascii="Calibri" w:hAnsi="Calibri"/>
          <w:color w:val="525866"/>
          <w:sz w:val="22"/>
        </w:rPr>
        <w:t>BIIB080 (diranersen) CELIA Phase 2 data presented at AAIC — missed primary endpoint (CDR-SB dose response); stock fell ~8% despite management’s positive framing of tau PET data and Phase 3 advancement plans.</w:t>
      </w:r>
    </w:p>
    <w:p>
      <w:r>
        <w:rPr>
          <w:rFonts w:ascii="Calibri" w:hAnsi="Calibri"/>
          <w:b/>
          <w:color w:val="525866"/>
          <w:sz w:val="22"/>
        </w:rPr>
        <w:t>Valuation Context:</w:t>
      </w:r>
      <w:r>
        <w:rPr>
          <w:rFonts w:ascii="Calibri" w:hAnsi="Calibri"/>
          <w:color w:val="525866"/>
          <w:sz w:val="22"/>
        </w:rPr>
        <w:t xml:space="preserve"> BIIB trades at 13.5x NTM P/E (vs. 8.8x one year ago), reflecting the transformation re-rating. The 12-month +57% return was driven ~53% by multiple expansion and ~4% by estimate revisions — suggesting the stock’s re-rating is sentiment/narrative-driven and vulnerable to execution misses. At current levels, the stock is pricing in continued growth product momentum but not yet giving full credit to the late-stage pipeline (litifilimab, felzartamab, dapirolizumab).</w:t>
      </w:r>
    </w:p>
    <w:p>
      <w:r>
        <w:rPr>
          <w:rFonts w:ascii="Calibri" w:hAnsi="Calibri"/>
          <w:b/>
          <w:color w:val="525866"/>
          <w:sz w:val="22"/>
        </w:rPr>
        <w:t xml:space="preserve">Source: </w:t>
      </w:r>
      <w:r>
        <w:rPr>
          <w:rFonts w:ascii="Calibri" w:hAnsi="Calibri"/>
          <w:color w:val="525866"/>
          <w:sz w:val="22"/>
        </w:rPr>
        <w:t>Stock Price Data (Yahoo Finance); Biogen Stock Performance Decomposition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Apellis acquisition close (May 14), which transforms the Q2 print into the first consolidated quarter and makes management’s updated full-year guidance the central focus of the call. The BIIB080 CELIA miss is the key overhang — management’s Phase 3 framing will be closely scrutinized.</w:t>
      </w:r>
    </w:p>
    <w:p>
      <w:pPr>
        <w:pStyle w:val="ListBullet"/>
        <w:ind w:left="360" w:hanging="360"/>
      </w:pPr>
      <w:r>
        <w:rPr>
          <w:rFonts w:ascii="Calibri" w:hAnsi="Calibri"/>
          <w:b/>
          <w:color w:val="525866"/>
          <w:sz w:val="22"/>
        </w:rPr>
        <w:t xml:space="preserve">May 13, 2026 — IQLIK (Lecanemab Subcu Initiation) FDA Approval: </w:t>
      </w:r>
      <w:r>
        <w:rPr>
          <w:rFonts w:ascii="Calibri" w:hAnsi="Calibri"/>
          <w:color w:val="525866"/>
          <w:sz w:val="22"/>
        </w:rPr>
        <w:t xml:space="preserve">FDA approved IQLIK CombiClick for treatment initiation in Alzheimer’s disease, eliminating the IV infusion burden for new patients. Management had characterized this as a potential “game changer” that could accelerate LEQEMBI growth in 2H 2026 and into 2027 once full Part D reimbursement begins January 2027. </w:t>
      </w:r>
      <w:r>
        <w:rPr>
          <w:rFonts w:ascii="Calibri" w:hAnsi="Calibri"/>
          <w:b/>
          <w:color w:val="525866"/>
          <w:sz w:val="22"/>
        </w:rPr>
        <w:t xml:space="preserve">Implication: </w:t>
      </w:r>
      <w:r>
        <w:rPr>
          <w:rFonts w:ascii="Calibri" w:hAnsi="Calibri"/>
          <w:color w:val="525866"/>
          <w:sz w:val="22"/>
        </w:rPr>
        <w:t>Key driver of LEQEMBI sequential growth in Q2 and beyond; watch for early subcu adoption data on the call.</w:t>
      </w:r>
    </w:p>
    <w:p>
      <w:pPr>
        <w:pStyle w:val="ListBullet"/>
        <w:ind w:left="360" w:hanging="360"/>
      </w:pPr>
      <w:r>
        <w:rPr>
          <w:rFonts w:ascii="Calibri" w:hAnsi="Calibri"/>
          <w:b/>
          <w:color w:val="525866"/>
          <w:sz w:val="22"/>
        </w:rPr>
        <w:t xml:space="preserve">May 14, 2026 — Apellis Acquisition Closes (~$5.3B): </w:t>
      </w:r>
      <w:r>
        <w:rPr>
          <w:rFonts w:ascii="Calibri" w:hAnsi="Calibri"/>
          <w:color w:val="525866"/>
          <w:sz w:val="22"/>
        </w:rPr>
        <w:t xml:space="preserve">Biogen completed the acquisition of Apellis Pharmaceuticals, adding SYFOVRE (geographic atrophy) and EMPAVELI (rare kidney diseases/PNH) plus a nephrology commercial infrastructure. Funded with $3.6B cash + $2B bank borrowings. </w:t>
      </w:r>
      <w:r>
        <w:rPr>
          <w:rFonts w:ascii="Calibri" w:hAnsi="Calibri"/>
          <w:b/>
          <w:color w:val="525866"/>
          <w:sz w:val="22"/>
        </w:rPr>
        <w:t xml:space="preserve">Implication: </w:t>
      </w:r>
      <w:r>
        <w:rPr>
          <w:rFonts w:ascii="Calibri" w:hAnsi="Calibri"/>
          <w:color w:val="525866"/>
          <w:sz w:val="22"/>
        </w:rPr>
        <w:t>Q2 2026 is the first consolidated quarter; management to provide first full-year consolidated guidance on the Q2 call. SYFOVRE and EMPAVELI revenue trajectory and DTC investment plans will be key new disclosures.</w:t>
      </w:r>
    </w:p>
    <w:p>
      <w:pPr>
        <w:pStyle w:val="ListBullet"/>
        <w:ind w:left="360" w:hanging="360"/>
      </w:pPr>
      <w:r>
        <w:rPr>
          <w:rFonts w:ascii="Calibri" w:hAnsi="Calibri"/>
          <w:b/>
          <w:color w:val="525866"/>
          <w:sz w:val="22"/>
        </w:rPr>
        <w:t xml:space="preserve">Jun 8, 2026 — Needham Upgrades BIIB to Buy (from Hold): </w:t>
      </w:r>
      <w:r>
        <w:rPr>
          <w:rFonts w:ascii="Calibri" w:hAnsi="Calibri"/>
          <w:color w:val="525866"/>
          <w:sz w:val="22"/>
        </w:rPr>
        <w:t xml:space="preserve">Needham upgraded BIIB to Buy, citing the Apellis acquisition’s strategic rationale and the improving growth product trajectory. </w:t>
      </w:r>
      <w:r>
        <w:rPr>
          <w:rFonts w:ascii="Calibri" w:hAnsi="Calibri"/>
          <w:b/>
          <w:color w:val="525866"/>
          <w:sz w:val="22"/>
        </w:rPr>
        <w:t xml:space="preserve">Implication: </w:t>
      </w:r>
      <w:r>
        <w:rPr>
          <w:rFonts w:ascii="Calibri" w:hAnsi="Calibri"/>
          <w:color w:val="525866"/>
          <w:sz w:val="22"/>
        </w:rPr>
        <w:t>Positive sentiment signal; only rating change in the period.</w:t>
      </w:r>
    </w:p>
    <w:p>
      <w:pPr>
        <w:pStyle w:val="ListBullet"/>
        <w:ind w:left="360" w:hanging="360"/>
      </w:pPr>
      <w:r>
        <w:rPr>
          <w:rFonts w:ascii="Calibri" w:hAnsi="Calibri"/>
          <w:b/>
          <w:color w:val="525866"/>
          <w:sz w:val="22"/>
        </w:rPr>
        <w:t xml:space="preserve">Jun 26, 2026 — AAIC Conference: Dapirolizumab Phase 3 SLE Positive Data: </w:t>
      </w:r>
      <w:r>
        <w:rPr>
          <w:rFonts w:ascii="Calibri" w:hAnsi="Calibri"/>
          <w:color w:val="525866"/>
          <w:sz w:val="22"/>
        </w:rPr>
        <w:t xml:space="preserve">UCB/Biogen’s dapirolizumab (anti-CD40L) Phase 3 study in SLE hit its primary endpoint — only the third positive Phase 3 SLE trial in history. Multi-system benefit including steroid tapering, flare reduction, and fatigue improvement. Stock rallied ~7.5% on the day. </w:t>
      </w:r>
      <w:r>
        <w:rPr>
          <w:rFonts w:ascii="Calibri" w:hAnsi="Calibri"/>
          <w:b/>
          <w:color w:val="525866"/>
          <w:sz w:val="22"/>
        </w:rPr>
        <w:t xml:space="preserve">Implication: </w:t>
      </w:r>
      <w:r>
        <w:rPr>
          <w:rFonts w:ascii="Calibri" w:hAnsi="Calibri"/>
          <w:color w:val="525866"/>
          <w:sz w:val="22"/>
        </w:rPr>
        <w:t>Significantly de-risks the lupus franchise; combined with litifilimab (two Phase 3 SLE readouts expected H2 2026), Biogen could have two approved SLE therapies by 2028.</w:t>
      </w:r>
    </w:p>
    <w:p>
      <w:pPr>
        <w:pStyle w:val="ListBullet"/>
        <w:ind w:left="360" w:hanging="360"/>
      </w:pPr>
      <w:r>
        <w:rPr>
          <w:rFonts w:ascii="Calibri" w:hAnsi="Calibri"/>
          <w:b/>
          <w:color w:val="525866"/>
          <w:sz w:val="22"/>
        </w:rPr>
        <w:t xml:space="preserve">Jul 1, 2026 — 8-K: Q2 and Q3 IPR&amp;D Pre-Disclosure: </w:t>
      </w:r>
      <w:r>
        <w:rPr>
          <w:rFonts w:ascii="Calibri" w:hAnsi="Calibri"/>
          <w:color w:val="525866"/>
          <w:sz w:val="22"/>
        </w:rPr>
        <w:t xml:space="preserve">Biogen pre-disclosed ~$164M (~$0.95/share) of acquired IPR&amp;D charges for Q2 2026 and flagged $290–320M ($1.75–$1.95/share) for Q3 2026 related to “potential milestones and transactions that have not yet closed.” </w:t>
      </w:r>
      <w:r>
        <w:rPr>
          <w:rFonts w:ascii="Calibri" w:hAnsi="Calibri"/>
          <w:b/>
          <w:color w:val="525866"/>
          <w:sz w:val="22"/>
        </w:rPr>
        <w:t xml:space="preserve">Implication: </w:t>
      </w:r>
      <w:r>
        <w:rPr>
          <w:rFonts w:ascii="Calibri" w:hAnsi="Calibri"/>
          <w:color w:val="525866"/>
          <w:sz w:val="22"/>
        </w:rPr>
        <w:t>Q2 EPS headline will be heavily distorted; Q3 IPR&amp;D flag is a significant overhang on FY2026 EPS consensus. Market will want clarity on what transactions/milestones are driving the Q3 charges.</w:t>
      </w:r>
    </w:p>
    <w:p>
      <w:pPr>
        <w:pStyle w:val="ListBullet"/>
        <w:ind w:left="360" w:hanging="360"/>
      </w:pPr>
      <w:r>
        <w:rPr>
          <w:rFonts w:ascii="Calibri" w:hAnsi="Calibri"/>
          <w:b/>
          <w:color w:val="525866"/>
          <w:sz w:val="22"/>
        </w:rPr>
        <w:t xml:space="preserve">Jul 14, 2026 — AAIC: BIIB080 (Diranersen) CELIA Phase 2 Data — Primary Endpoint Miss: </w:t>
      </w:r>
      <w:r>
        <w:rPr>
          <w:rFonts w:ascii="Calibri" w:hAnsi="Calibri"/>
          <w:color w:val="525866"/>
          <w:sz w:val="22"/>
        </w:rPr>
        <w:t xml:space="preserve">CELIA did not meet its primary endpoint (dose response on CDR-SB). However, management highlighted unprecedented tau tangle reduction via tau PET across all doses and cognitive benefit signals (MMSE, ADAS-Cog 13) particularly at the 60mg every-six-months dose. Management advancing to Phase 3 “with urgency.” Stock fell sharply (~8%) on the day. </w:t>
      </w:r>
      <w:r>
        <w:rPr>
          <w:rFonts w:ascii="Calibri" w:hAnsi="Calibri"/>
          <w:b/>
          <w:color w:val="525866"/>
          <w:sz w:val="22"/>
        </w:rPr>
        <w:t xml:space="preserve">Implication: </w:t>
      </w:r>
      <w:r>
        <w:rPr>
          <w:rFonts w:ascii="Calibri" w:hAnsi="Calibri"/>
          <w:color w:val="525866"/>
          <w:sz w:val="22"/>
        </w:rPr>
        <w:t>Key overhang heading into Q2 call; management’s Phase 3 design, FDA meeting timeline, and framing of the dose-response anomaly will be the most scrutinized pipeline topic. The market is skeptical of the positive spin.</w:t>
      </w:r>
    </w:p>
    <w:p>
      <w:pPr>
        <w:pStyle w:val="ListBullet"/>
        <w:ind w:left="360" w:hanging="360"/>
      </w:pPr>
      <w:r>
        <w:rPr>
          <w:rFonts w:ascii="Calibri" w:hAnsi="Calibri"/>
          <w:b/>
          <w:color w:val="525866"/>
          <w:sz w:val="22"/>
        </w:rPr>
        <w:t xml:space="preserve">Jul 2026 — Litifilimab Phase 3 TOPAZ-1 SLE Readout Expected H2 2026: </w:t>
      </w:r>
      <w:r>
        <w:rPr>
          <w:rFonts w:ascii="Calibri" w:hAnsi="Calibri"/>
          <w:color w:val="525866"/>
          <w:sz w:val="22"/>
        </w:rPr>
        <w:t xml:space="preserve">Two Phase 3 SLE studies expected to read out in 2026; CLE trial expected early 2027. Management has characterized a single positive SLE trial as not necessarily a showstopper given field precedent. </w:t>
      </w:r>
      <w:r>
        <w:rPr>
          <w:rFonts w:ascii="Calibri" w:hAnsi="Calibri"/>
          <w:b/>
          <w:color w:val="525866"/>
          <w:sz w:val="22"/>
        </w:rPr>
        <w:t xml:space="preserve">Implication: </w:t>
      </w:r>
      <w:r>
        <w:rPr>
          <w:rFonts w:ascii="Calibri" w:hAnsi="Calibri"/>
          <w:color w:val="525866"/>
          <w:sz w:val="22"/>
        </w:rPr>
        <w:t>Binary catalyst; positive readout could be a significant stock catalyst given the dapirolizumab de-risking of the lupus franchise.</w:t>
      </w:r>
    </w:p>
    <w:p>
      <w:pPr>
        <w:pStyle w:val="ListBullet"/>
        <w:ind w:left="360" w:hanging="360"/>
      </w:pPr>
      <w:r>
        <w:rPr>
          <w:rFonts w:ascii="Calibri" w:hAnsi="Calibri"/>
          <w:b/>
          <w:color w:val="525866"/>
          <w:sz w:val="22"/>
        </w:rPr>
        <w:t xml:space="preserve">Ongoing — SPINRAZA HD US Launch (Approved ~April 2026): </w:t>
      </w:r>
      <w:r>
        <w:rPr>
          <w:rFonts w:ascii="Calibri" w:hAnsi="Calibri"/>
          <w:color w:val="525866"/>
          <w:sz w:val="22"/>
        </w:rPr>
        <w:t xml:space="preserve">~20% of US patient base submitted start forms within the first month; similar traction in Europe (~20% conversion in Germany). Management characterizing the franchise as “durable and growing” with HD + Alcyone device + eventual salanersen. </w:t>
      </w:r>
      <w:r>
        <w:rPr>
          <w:rFonts w:ascii="Calibri" w:hAnsi="Calibri"/>
          <w:b/>
          <w:color w:val="525866"/>
          <w:sz w:val="22"/>
        </w:rPr>
        <w:t xml:space="preserve">Implication: </w:t>
      </w:r>
      <w:r>
        <w:rPr>
          <w:rFonts w:ascii="Calibri" w:hAnsi="Calibri"/>
          <w:color w:val="525866"/>
          <w:sz w:val="22"/>
        </w:rPr>
        <w:t>Watch for Q2 SPINRAZA revenue vs. consensus ($385M) — HD ramp could drive upside.</w:t>
      </w:r>
    </w:p>
    <w:p>
      <w:r>
        <w:br w:type="page"/>
      </w:r>
    </w:p>
    <w:p>
      <w:pPr>
        <w:pStyle w:val="Heading1"/>
        <w:pBdr>
          <w:bottom w:val="single" w:sz="4" w:space="1" w:color="FB9120"/>
        </w:pBdr>
      </w:pPr>
      <w:r>
        <w:rPr>
          <w:rFonts w:ascii="Calibri" w:hAnsi="Calibri"/>
          <w:b/>
          <w:color w:val="3B4259"/>
          <w:sz w:val="40"/>
        </w:rPr>
        <w:t>7. Peer Commentaries / Read-Throughs — Last 60 Days</w:t>
      </w:r>
    </w:p>
    <w:p>
      <w:r>
        <w:rPr>
          <w:rFonts w:ascii="Calibri" w:hAnsi="Calibri"/>
          <w:b/>
          <w:color w:val="525866"/>
          <w:sz w:val="22"/>
        </w:rPr>
        <w:t xml:space="preserve">Screening Standard: </w:t>
      </w:r>
      <w:r>
        <w:rPr>
          <w:rFonts w:ascii="Calibri" w:hAnsi="Calibri"/>
          <w:color w:val="525866"/>
          <w:sz w:val="22"/>
        </w:rPr>
        <w:t>Only commentary issued within the last 60 days (on or after May 29, 2026) that explicitly addresses the current Q2 2026 reporting period, forward outlook for Q2/H2 2026, or market dynamics relevant to Biogen’s current-quarter performance is included. Prior-quarter-only commentary (e.g., a peer discussing its own Q1 2026 results without forward-looking color) is explicitly excluded. Commentary from Roche’s July 23, 2026 Q2 2026 earnings call is included as it directly addresses Q2 2026 market dynamics.</w:t>
      </w:r>
    </w:p>
    <w:p>
      <w:r>
        <w:rPr>
          <w:rFonts w:ascii="Calibri" w:hAnsi="Calibri"/>
          <w:b/>
          <w:color w:val="525866"/>
          <w:sz w:val="22"/>
        </w:rPr>
        <w:t xml:space="preserve">Key Takeaway: </w:t>
      </w:r>
      <w:r>
        <w:rPr>
          <w:rFonts w:ascii="Calibri" w:hAnsi="Calibri"/>
          <w:color w:val="525866"/>
          <w:sz w:val="22"/>
        </w:rPr>
        <w:t>Roche’s Q2 2026 commentary is the most directly relevant read-through — it confirms the MS market is more competitive than expected (negative for BIIB’s MS franchise), validates the subcutaneous formulation as the key growth driver in anti-CD20 (positive read-through for LEQEMBI subcu), and highlights the Alzheimer’s diagnostic landscape evolution (positive for LEQEMBI market expansion). The BTK inhibitor/degrader commentary from Roche is also relevant to BIIB’s BIIB091 program.</w:t>
      </w:r>
    </w:p>
    <w:p>
      <w:pPr>
        <w:pStyle w:val="Heading2"/>
      </w:pPr>
      <w:r>
        <w:rPr>
          <w:rFonts w:ascii="Calibri" w:hAnsi="Calibri"/>
          <w:b/>
          <w:color w:val="3B4259"/>
          <w:sz w:val="28"/>
        </w:rPr>
        <w:t>Roche (ROG SW) — Q2 2026 Earnings Call (July 23, 2026)</w:t>
      </w:r>
    </w:p>
    <w:p>
      <w:r>
        <w:rPr>
          <w:rFonts w:ascii="Calibri" w:hAnsi="Calibri"/>
          <w:b/>
          <w:color w:val="525866"/>
          <w:sz w:val="22"/>
        </w:rPr>
        <w:t xml:space="preserve">Relevance: </w:t>
      </w:r>
      <w:r>
        <w:rPr>
          <w:rFonts w:ascii="Calibri" w:hAnsi="Calibri"/>
          <w:color w:val="525866"/>
          <w:sz w:val="22"/>
        </w:rPr>
        <w:t>Roche is Biogen’s primary competitor in MS (Ocrevus vs. TYSABRI/VUMERITY), a key partner in the Alzheimer’s diagnostic ecosystem (Roche’s Elecsys pTau 217 blood-based biomarker), and a competitor in the BTK inhibitor space (Fenebrutinib vs. BIIB091). Roche’s Q2 2026 commentary directly addresses Q2 2026 market dynamics.</w:t>
      </w:r>
    </w:p>
    <w:p>
      <w:pPr>
        <w:pStyle w:val="Heading3"/>
      </w:pPr>
      <w:r>
        <w:rPr>
          <w:rFonts w:ascii="Calibri" w:hAnsi="Calibri"/>
          <w:b/>
          <w:color w:val="3B4259"/>
          <w:sz w:val="24"/>
        </w:rPr>
        <w:t>Read-Through 1: MS Market More Competitive Than Expected — Negative for BIIB MS Franchise</w:t>
      </w:r>
    </w:p>
    <w:p>
      <w:r>
        <w:rPr>
          <w:rFonts w:ascii="Calibri" w:hAnsi="Calibri"/>
          <w:color w:val="525866"/>
          <w:sz w:val="22"/>
        </w:rPr>
        <w:t>Roche disclosed that competitive dynamics in the anti-CD20 MS space are “at the upper end of our previous assumptions,” causing Roche to revise its Ocrevus franchise 2026 growth outlook to the lower end of its prior high-single-digit to low-double-digit range. Roche specifically acknowledged “a higher level of competition in the market” without naming individual competitors, but the context points to Briumvi (ublituximab, TG Therapeutics) as the primary competitive pressure.</w:t>
      </w:r>
    </w:p>
    <w:p>
      <w:r>
        <w:rPr>
          <w:rFonts w:ascii="Calibri" w:hAnsi="Calibri"/>
          <w:b/>
          <w:color w:val="525866"/>
          <w:sz w:val="22"/>
        </w:rPr>
        <w:t xml:space="preserve">BIIB Read-Through: </w:t>
      </w:r>
      <w:r>
        <w:rPr>
          <w:rFonts w:ascii="Calibri" w:hAnsi="Calibri"/>
          <w:color w:val="525866"/>
          <w:sz w:val="22"/>
        </w:rPr>
        <w:t>Negative for BIIB’s TYSABRI and broader MS franchise. If the anti-CD20 competitive environment is intensifying more than expected, TYSABRI (which competes for the same high-efficacy MS patient pool) faces incremental headwinds. VUMERITY is less directly exposed (oral DMT vs. IV/subcu anti-CD20), but the overall MS market growth rate being pressured is a headwind to BIIB’s MS revenue stabilization thesis. Watch for TYSABRI revenue vs. consensus on the Q2 call.</w:t>
      </w:r>
    </w:p>
    <w:p>
      <w:pPr>
        <w:pStyle w:val="Heading3"/>
      </w:pPr>
      <w:r>
        <w:rPr>
          <w:rFonts w:ascii="Calibri" w:hAnsi="Calibri"/>
          <w:b/>
          <w:color w:val="3B4259"/>
          <w:sz w:val="24"/>
        </w:rPr>
        <w:t>Read-Through 2: Subcutaneous Formulation as Key Growth Driver — Positive for LEQEMBI Subcu Thesis</w:t>
      </w:r>
    </w:p>
    <w:p>
      <w:r>
        <w:rPr>
          <w:rFonts w:ascii="Calibri" w:hAnsi="Calibri"/>
          <w:color w:val="525866"/>
          <w:sz w:val="22"/>
        </w:rPr>
        <w:t>Roche highlighted that Ocrevus Subcut (Ocrevus SC, branded “de novo” in the US) is “the key growth driver” for the Ocrevus franchise, with patients on Subcut growing from ~24,000 in Q1 to ~44,000 in Q2 — an 83% sequential increase. Roche characterized Ocrevus SC as “the fastest-growing anti-CD20 MS brand” and highlighted the convenience of “a ten-minute subcut just twice a year” as a key differentiator.</w:t>
      </w:r>
    </w:p>
    <w:p>
      <w:r>
        <w:rPr>
          <w:rFonts w:ascii="Calibri" w:hAnsi="Calibri"/>
          <w:b/>
          <w:color w:val="525866"/>
          <w:sz w:val="22"/>
        </w:rPr>
        <w:t xml:space="preserve">BIIB Read-Through: </w:t>
      </w:r>
      <w:r>
        <w:rPr>
          <w:rFonts w:ascii="Calibri" w:hAnsi="Calibri"/>
          <w:color w:val="525866"/>
          <w:sz w:val="22"/>
        </w:rPr>
        <w:t>Strongly positive read-through for BIIB’s LEQEMBI subcutaneous strategy. Roche’s experience demonstrates that subcutaneous formulations can drive rapid patient adoption and become the dominant growth driver within a franchise — exactly the thesis Biogen is pursuing with IQLIK (approved May 13, 2026). The 83% sequential patient growth on Ocrevus SC validates the market’s appetite for subcu convenience in a chronic neurological disease setting. This is a direct analog for LEQEMBI’s subcu initiation opportunity.</w:t>
      </w:r>
    </w:p>
    <w:p>
      <w:pPr>
        <w:pStyle w:val="Heading3"/>
      </w:pPr>
      <w:r>
        <w:rPr>
          <w:rFonts w:ascii="Calibri" w:hAnsi="Calibri"/>
          <w:b/>
          <w:color w:val="3B4259"/>
          <w:sz w:val="24"/>
        </w:rPr>
        <w:t>Read-Through 3: Alzheimer’s Blood-Based Biomarker Ecosystem Expanding — Positive for LEQEMBI Market Expansion</w:t>
      </w:r>
    </w:p>
    <w:p>
      <w:r>
        <w:rPr>
          <w:rFonts w:ascii="Calibri" w:hAnsi="Calibri"/>
          <w:color w:val="525866"/>
          <w:sz w:val="22"/>
        </w:rPr>
        <w:t>Roche received CE mark for its Elecsys pTau 217 blood-based biomarker test on May 12, 2026, describing it as “the first blood-based biomarker intended to rule in or rule out Alzheimer’s in primary and secondary care settings.” Roche highlighted “high diagnostic accuracy across healthcare settings and clinical stages” and characterized it as providing “a significant head start versus our other major competitors.” The test is expected to help physicians identify Alzheimer’s earlier and facilitate timely intervention.</w:t>
      </w:r>
    </w:p>
    <w:p>
      <w:r>
        <w:rPr>
          <w:rFonts w:ascii="Calibri" w:hAnsi="Calibri"/>
          <w:b/>
          <w:color w:val="525866"/>
          <w:sz w:val="22"/>
        </w:rPr>
        <w:t xml:space="preserve">BIIB Read-Through: </w:t>
      </w:r>
      <w:r>
        <w:rPr>
          <w:rFonts w:ascii="Calibri" w:hAnsi="Calibri"/>
          <w:color w:val="525866"/>
          <w:sz w:val="22"/>
        </w:rPr>
        <w:t>Positive for LEQEMBI market expansion. Biogen’s management has consistently highlighted blood-based biomarker adoption as a key driver of LEQEMBI market expansion — noting that eligible patient identification rates increased from ~50% to ~70% as blood-based biomarkers gained traction. Roche’s CE mark for pTau 217 (and CMS’s addition of blood-based biomarkers for reimbursement confirmation) accelerates the diagnostic pathway simplification that is critical to LEQEMBI’s growth. More patients identified earlier = larger addressable market for LEQEMBI.</w:t>
      </w:r>
    </w:p>
    <w:p>
      <w:pPr>
        <w:pStyle w:val="Heading3"/>
      </w:pPr>
      <w:r>
        <w:rPr>
          <w:rFonts w:ascii="Calibri" w:hAnsi="Calibri"/>
          <w:b/>
          <w:color w:val="3B4259"/>
          <w:sz w:val="24"/>
        </w:rPr>
        <w:t>Read-Through 4: Roche Advancing BTK Inhibitor (Fenebrutinib) Filing + BTK Degrader — Competitive Context for BIIB091</w:t>
      </w:r>
    </w:p>
    <w:p>
      <w:r>
        <w:rPr>
          <w:rFonts w:ascii="Calibri" w:hAnsi="Calibri"/>
          <w:color w:val="525866"/>
          <w:sz w:val="22"/>
        </w:rPr>
        <w:t>Roche disclosed it expects to complete US filing for Fenebrutinib (BTK inhibitor for MS) “in the coming weeks,” with filing acceptance expected to be confirmed via press release in Q3 2026. Roche also highlighted a BTK degrader (Beck-sague) in its pipeline, which it characterized as a “next generation molecule” that removes all BTK functions (unlike inhibitors where some function may remain), can cross the blood-brain barrier, and has Phase 2 trials planned in MS and CSU.</w:t>
      </w:r>
    </w:p>
    <w:p>
      <w:r>
        <w:rPr>
          <w:rFonts w:ascii="Calibri" w:hAnsi="Calibri"/>
          <w:b/>
          <w:color w:val="525866"/>
          <w:sz w:val="22"/>
        </w:rPr>
        <w:t xml:space="preserve">BIIB Read-Through: </w:t>
      </w:r>
      <w:r>
        <w:rPr>
          <w:rFonts w:ascii="Calibri" w:hAnsi="Calibri"/>
          <w:color w:val="525866"/>
          <w:sz w:val="22"/>
        </w:rPr>
        <w:t>Mixed for BIIB’s BIIB091 BTK inhibitor program. Roche’s Fenebrutinib filing is a competitive threat — if approved, it would be the first BTK inhibitor in MS and could set the competitive bar before BIIB091 reaches the market. However, Biogen is also developing a BTK degrader in parallel (disclosed on the Q1 2026 call), suggesting both companies are converging on the same next-generation approach. The competitive dynamic validates the BTK mechanism in MS but raises the bar for BIIB091 differentiation.</w:t>
      </w:r>
    </w:p>
    <w:p>
      <w:pPr>
        <w:pStyle w:val="Heading3"/>
      </w:pPr>
      <w:r>
        <w:rPr>
          <w:rFonts w:ascii="Calibri" w:hAnsi="Calibri"/>
          <w:b/>
          <w:color w:val="3B4259"/>
          <w:sz w:val="24"/>
        </w:rPr>
        <w:t>Read-Through 5: Roche Alzheimer’s Prevention Study (Tronti/Mab) — Validates Prevention as Next Frontier</w:t>
      </w:r>
    </w:p>
    <w:p>
      <w:r>
        <w:rPr>
          <w:rFonts w:ascii="Calibri" w:hAnsi="Calibri"/>
          <w:color w:val="525866"/>
          <w:sz w:val="22"/>
        </w:rPr>
        <w:t>Roche shared the design of a Phase 3 study of Mab (trontinemab) in preclinical Alzheimer’s prevention, enrolling “cognitively unimpaired individuals at high risk of progression to symptomatic AD.” Roche also highlighted long-term Phase 1/2 data confirming “impressive amyloid clearance, speed and depth” and a strong safety profile for trontinemab.</w:t>
      </w:r>
    </w:p>
    <w:p>
      <w:r>
        <w:rPr>
          <w:rFonts w:ascii="Calibri" w:hAnsi="Calibri"/>
          <w:b/>
          <w:color w:val="525866"/>
          <w:sz w:val="22"/>
        </w:rPr>
        <w:t xml:space="preserve">BIIB Read-Through: </w:t>
      </w:r>
      <w:r>
        <w:rPr>
          <w:rFonts w:ascii="Calibri" w:hAnsi="Calibri"/>
          <w:color w:val="525866"/>
          <w:sz w:val="22"/>
        </w:rPr>
        <w:t>Positive for the Alzheimer’s prevention narrative that underpins BIIB’s AHEAD 3-45 study (expected readout 2028). Roche’s entry into the prevention space validates the market opportunity and the scientific rationale for treating pre-symptomatic patients. However, it also signals that the prevention space will be competitive, and LEQEMBI’s AHEAD 3-45 data will need to be compelling to establish market leadership in prevention.</w:t>
      </w:r>
    </w:p>
    <w:p>
      <w:r>
        <w:rPr>
          <w:rFonts w:ascii="Calibri" w:hAnsi="Calibri"/>
          <w:b/>
          <w:color w:val="525866"/>
          <w:sz w:val="22"/>
        </w:rPr>
        <w:t xml:space="preserve">Source: </w:t>
      </w:r>
      <w:r>
        <w:rPr>
          <w:rFonts w:ascii="Calibri" w:hAnsi="Calibri"/>
          <w:color w:val="525866"/>
          <w:sz w:val="22"/>
        </w:rPr>
        <w:t>Roche (ROG SW) Q2 2026 Earnings Call Transcript (July 23,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or directors since Q1 earnings. All transactions in the period are routine — director equity grants (annual compensation awards on June 9) and an RSU vest/tax withholding by the Head of Corporate Development. </w:t>
      </w:r>
      <w:r>
        <w:rPr>
          <w:rFonts w:ascii="Calibri" w:hAnsi="Calibri"/>
          <w:b/>
          <w:color w:val="525866"/>
          <w:sz w:val="22"/>
        </w:rPr>
        <w:t>The absence of any open-market selling by senior management ahead of a complex quarter (first Apellis consolidation, BIIB080 data)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Freire, Maria C.</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2,005</w:t>
            </w:r>
          </w:p>
        </w:tc>
        <w:tc>
          <w:tcPr>
            <w:tcW w:type="dxa" w:w="1440"/>
          </w:tcPr>
          <w:p>
            <w:r>
              <w:rPr>
                <w:rFonts w:ascii="Calibri" w:hAnsi="Calibri"/>
                <w:sz w:val="22"/>
              </w:rPr>
              <w:t>Jun 9, 2026</w:t>
            </w:r>
          </w:p>
        </w:tc>
        <w:tc>
          <w:tcPr>
            <w:tcW w:type="dxa" w:w="1440"/>
          </w:tcPr>
          <w:p>
            <w:r>
              <w:rPr>
                <w:rFonts w:ascii="Calibri" w:hAnsi="Calibri"/>
                <w:sz w:val="22"/>
              </w:rPr>
              <w:t>Annual director compensation grant; routine; not open-market</w:t>
            </w:r>
          </w:p>
        </w:tc>
      </w:tr>
      <w:tr>
        <w:tc>
          <w:tcPr>
            <w:tcW w:type="dxa" w:w="1440"/>
          </w:tcPr>
          <w:p>
            <w:r>
              <w:rPr>
                <w:rFonts w:ascii="Calibri" w:hAnsi="Calibri"/>
                <w:sz w:val="22"/>
              </w:rPr>
              <w:t>Hawkins, William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1,505</w:t>
            </w:r>
          </w:p>
        </w:tc>
        <w:tc>
          <w:tcPr>
            <w:tcW w:type="dxa" w:w="1440"/>
          </w:tcPr>
          <w:p>
            <w:r>
              <w:rPr>
                <w:rFonts w:ascii="Calibri" w:hAnsi="Calibri"/>
                <w:sz w:val="22"/>
              </w:rPr>
              <w:t>Jun 9, 2026</w:t>
            </w:r>
          </w:p>
        </w:tc>
        <w:tc>
          <w:tcPr>
            <w:tcW w:type="dxa" w:w="1440"/>
          </w:tcPr>
          <w:p>
            <w:r>
              <w:rPr>
                <w:rFonts w:ascii="Calibri" w:hAnsi="Calibri"/>
                <w:sz w:val="22"/>
              </w:rPr>
              <w:t>Annual director compensation grant; routine; not open-market</w:t>
            </w:r>
          </w:p>
        </w:tc>
      </w:tr>
      <w:tr>
        <w:tc>
          <w:tcPr>
            <w:tcW w:type="dxa" w:w="1440"/>
          </w:tcPr>
          <w:p>
            <w:r>
              <w:rPr>
                <w:rFonts w:ascii="Calibri" w:hAnsi="Calibri"/>
                <w:sz w:val="22"/>
              </w:rPr>
              <w:t>Langer, Susan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1,505</w:t>
            </w:r>
          </w:p>
        </w:tc>
        <w:tc>
          <w:tcPr>
            <w:tcW w:type="dxa" w:w="1440"/>
          </w:tcPr>
          <w:p>
            <w:r>
              <w:rPr>
                <w:rFonts w:ascii="Calibri" w:hAnsi="Calibri"/>
                <w:sz w:val="22"/>
              </w:rPr>
              <w:t>Jun 9, 2026</w:t>
            </w:r>
          </w:p>
        </w:tc>
        <w:tc>
          <w:tcPr>
            <w:tcW w:type="dxa" w:w="1440"/>
          </w:tcPr>
          <w:p>
            <w:r>
              <w:rPr>
                <w:rFonts w:ascii="Calibri" w:hAnsi="Calibri"/>
                <w:sz w:val="22"/>
              </w:rPr>
              <w:t>Annual director compensation grant; routine; not open-market</w:t>
            </w:r>
          </w:p>
        </w:tc>
      </w:tr>
      <w:tr>
        <w:tc>
          <w:tcPr>
            <w:tcW w:type="dxa" w:w="1440"/>
          </w:tcPr>
          <w:p>
            <w:r>
              <w:rPr>
                <w:rFonts w:ascii="Calibri" w:hAnsi="Calibri"/>
                <w:sz w:val="22"/>
              </w:rPr>
              <w:t>Mantas, Jesus B.</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1,505</w:t>
            </w:r>
          </w:p>
        </w:tc>
        <w:tc>
          <w:tcPr>
            <w:tcW w:type="dxa" w:w="1440"/>
          </w:tcPr>
          <w:p>
            <w:r>
              <w:rPr>
                <w:rFonts w:ascii="Calibri" w:hAnsi="Calibri"/>
                <w:sz w:val="22"/>
              </w:rPr>
              <w:t>Jun 9, 2026</w:t>
            </w:r>
          </w:p>
        </w:tc>
        <w:tc>
          <w:tcPr>
            <w:tcW w:type="dxa" w:w="1440"/>
          </w:tcPr>
          <w:p>
            <w:r>
              <w:rPr>
                <w:rFonts w:ascii="Calibri" w:hAnsi="Calibri"/>
                <w:sz w:val="22"/>
              </w:rPr>
              <w:t>Annual director compensation grant; routine; not open-market</w:t>
            </w:r>
          </w:p>
        </w:tc>
      </w:tr>
      <w:tr>
        <w:tc>
          <w:tcPr>
            <w:tcW w:type="dxa" w:w="1440"/>
          </w:tcPr>
          <w:p>
            <w:r>
              <w:rPr>
                <w:rFonts w:ascii="Calibri" w:hAnsi="Calibri"/>
                <w:sz w:val="22"/>
              </w:rPr>
              <w:t>Minor, Lloyd</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1,505</w:t>
            </w:r>
          </w:p>
        </w:tc>
        <w:tc>
          <w:tcPr>
            <w:tcW w:type="dxa" w:w="1440"/>
          </w:tcPr>
          <w:p>
            <w:r>
              <w:rPr>
                <w:rFonts w:ascii="Calibri" w:hAnsi="Calibri"/>
                <w:sz w:val="22"/>
              </w:rPr>
              <w:t>Jun 9, 2026</w:t>
            </w:r>
          </w:p>
        </w:tc>
        <w:tc>
          <w:tcPr>
            <w:tcW w:type="dxa" w:w="1440"/>
          </w:tcPr>
          <w:p>
            <w:r>
              <w:rPr>
                <w:rFonts w:ascii="Calibri" w:hAnsi="Calibri"/>
                <w:sz w:val="22"/>
              </w:rPr>
              <w:t>Annual director compensation grant; routine; not open-market</w:t>
            </w:r>
          </w:p>
        </w:tc>
      </w:tr>
      <w:tr>
        <w:tc>
          <w:tcPr>
            <w:tcW w:type="dxa" w:w="1440"/>
          </w:tcPr>
          <w:p>
            <w:r>
              <w:rPr>
                <w:rFonts w:ascii="Calibri" w:hAnsi="Calibri"/>
                <w:sz w:val="22"/>
              </w:rPr>
              <w:t>Pangalos, Menelas N.</w:t>
            </w:r>
          </w:p>
        </w:tc>
        <w:tc>
          <w:tcPr>
            <w:tcW w:type="dxa" w:w="1440"/>
          </w:tcPr>
          <w:p>
            <w:r>
              <w:rPr>
                <w:rFonts w:ascii="Calibri" w:hAnsi="Calibri"/>
                <w:sz w:val="22"/>
              </w:rPr>
              <w:t>Director</w:t>
            </w:r>
          </w:p>
        </w:tc>
        <w:tc>
          <w:tcPr>
            <w:tcW w:type="dxa" w:w="1440"/>
          </w:tcPr>
          <w:p>
            <w:r>
              <w:rPr>
                <w:rFonts w:ascii="Calibri" w:hAnsi="Calibri"/>
                <w:sz w:val="22"/>
              </w:rPr>
              <w:t>Equity Grant (Code A) + RSU Vest (Code M)</w:t>
            </w:r>
          </w:p>
        </w:tc>
        <w:tc>
          <w:tcPr>
            <w:tcW w:type="dxa" w:w="1440"/>
          </w:tcPr>
          <w:p>
            <w:r>
              <w:rPr>
                <w:rFonts w:ascii="Calibri" w:hAnsi="Calibri"/>
                <w:sz w:val="22"/>
              </w:rPr>
              <w:t>1,505 granted; 2,370 RSU vested</w:t>
            </w:r>
          </w:p>
        </w:tc>
        <w:tc>
          <w:tcPr>
            <w:tcW w:type="dxa" w:w="1440"/>
          </w:tcPr>
          <w:p>
            <w:r>
              <w:rPr>
                <w:rFonts w:ascii="Calibri" w:hAnsi="Calibri"/>
                <w:sz w:val="22"/>
              </w:rPr>
              <w:t>Jun 9, 2026</w:t>
            </w:r>
          </w:p>
        </w:tc>
        <w:tc>
          <w:tcPr>
            <w:tcW w:type="dxa" w:w="1440"/>
          </w:tcPr>
          <w:p>
            <w:r>
              <w:rPr>
                <w:rFonts w:ascii="Calibri" w:hAnsi="Calibri"/>
                <w:sz w:val="22"/>
              </w:rPr>
              <w:t>Annual grant + RSU vest; routine; no open-market sale</w:t>
            </w:r>
          </w:p>
        </w:tc>
      </w:tr>
      <w:tr>
        <w:tc>
          <w:tcPr>
            <w:tcW w:type="dxa" w:w="1440"/>
          </w:tcPr>
          <w:p>
            <w:r>
              <w:rPr>
                <w:rFonts w:ascii="Calibri" w:hAnsi="Calibri"/>
                <w:sz w:val="22"/>
              </w:rPr>
              <w:t>Patolawala, Monish D.</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1,505</w:t>
            </w:r>
          </w:p>
        </w:tc>
        <w:tc>
          <w:tcPr>
            <w:tcW w:type="dxa" w:w="1440"/>
          </w:tcPr>
          <w:p>
            <w:r>
              <w:rPr>
                <w:rFonts w:ascii="Calibri" w:hAnsi="Calibri"/>
                <w:sz w:val="22"/>
              </w:rPr>
              <w:t>Jun 9, 2026</w:t>
            </w:r>
          </w:p>
        </w:tc>
        <w:tc>
          <w:tcPr>
            <w:tcW w:type="dxa" w:w="1440"/>
          </w:tcPr>
          <w:p>
            <w:r>
              <w:rPr>
                <w:rFonts w:ascii="Calibri" w:hAnsi="Calibri"/>
                <w:sz w:val="22"/>
              </w:rPr>
              <w:t>Annual director compensation grant; routine; not open-market</w:t>
            </w:r>
          </w:p>
        </w:tc>
      </w:tr>
      <w:tr>
        <w:tc>
          <w:tcPr>
            <w:tcW w:type="dxa" w:w="1440"/>
          </w:tcPr>
          <w:p>
            <w:r>
              <w:rPr>
                <w:rFonts w:ascii="Calibri" w:hAnsi="Calibri"/>
                <w:sz w:val="22"/>
              </w:rPr>
              <w:t>Rowinsky, Eric K.</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1,505</w:t>
            </w:r>
          </w:p>
        </w:tc>
        <w:tc>
          <w:tcPr>
            <w:tcW w:type="dxa" w:w="1440"/>
          </w:tcPr>
          <w:p>
            <w:r>
              <w:rPr>
                <w:rFonts w:ascii="Calibri" w:hAnsi="Calibri"/>
                <w:sz w:val="22"/>
              </w:rPr>
              <w:t>Jun 9, 2026</w:t>
            </w:r>
          </w:p>
        </w:tc>
        <w:tc>
          <w:tcPr>
            <w:tcW w:type="dxa" w:w="1440"/>
          </w:tcPr>
          <w:p>
            <w:r>
              <w:rPr>
                <w:rFonts w:ascii="Calibri" w:hAnsi="Calibri"/>
                <w:sz w:val="22"/>
              </w:rPr>
              <w:t>Annual director compensation grant; routine; not open-market</w:t>
            </w:r>
          </w:p>
        </w:tc>
      </w:tr>
      <w:tr>
        <w:tc>
          <w:tcPr>
            <w:tcW w:type="dxa" w:w="1440"/>
          </w:tcPr>
          <w:p>
            <w:r>
              <w:rPr>
                <w:rFonts w:ascii="Calibri" w:hAnsi="Calibri"/>
                <w:sz w:val="22"/>
              </w:rPr>
              <w:t>Sherwin, Stephen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1,505</w:t>
            </w:r>
          </w:p>
        </w:tc>
        <w:tc>
          <w:tcPr>
            <w:tcW w:type="dxa" w:w="1440"/>
          </w:tcPr>
          <w:p>
            <w:r>
              <w:rPr>
                <w:rFonts w:ascii="Calibri" w:hAnsi="Calibri"/>
                <w:sz w:val="22"/>
              </w:rPr>
              <w:t>Jun 9, 2026</w:t>
            </w:r>
          </w:p>
        </w:tc>
        <w:tc>
          <w:tcPr>
            <w:tcW w:type="dxa" w:w="1440"/>
          </w:tcPr>
          <w:p>
            <w:r>
              <w:rPr>
                <w:rFonts w:ascii="Calibri" w:hAnsi="Calibri"/>
                <w:sz w:val="22"/>
              </w:rPr>
              <w:t>Annual director compensation grant; routine; not open-market</w:t>
            </w:r>
          </w:p>
        </w:tc>
      </w:tr>
      <w:tr>
        <w:tc>
          <w:tcPr>
            <w:tcW w:type="dxa" w:w="1440"/>
          </w:tcPr>
          <w:p>
            <w:r>
              <w:rPr>
                <w:rFonts w:ascii="Calibri" w:hAnsi="Calibri"/>
                <w:sz w:val="22"/>
              </w:rPr>
              <w:t>Keeney, Adam</w:t>
            </w:r>
          </w:p>
        </w:tc>
        <w:tc>
          <w:tcPr>
            <w:tcW w:type="dxa" w:w="1440"/>
          </w:tcPr>
          <w:p>
            <w:r>
              <w:rPr>
                <w:rFonts w:ascii="Calibri" w:hAnsi="Calibri"/>
                <w:sz w:val="22"/>
              </w:rPr>
              <w:t>Head of Corporate Development</w:t>
            </w:r>
          </w:p>
        </w:tc>
        <w:tc>
          <w:tcPr>
            <w:tcW w:type="dxa" w:w="1440"/>
          </w:tcPr>
          <w:p>
            <w:r>
              <w:rPr>
                <w:rFonts w:ascii="Calibri" w:hAnsi="Calibri"/>
                <w:sz w:val="22"/>
              </w:rPr>
              <w:t>RSU Vest + Tax Withholding (Codes M/F)</w:t>
            </w:r>
          </w:p>
        </w:tc>
        <w:tc>
          <w:tcPr>
            <w:tcW w:type="dxa" w:w="1440"/>
          </w:tcPr>
          <w:p>
            <w:r>
              <w:rPr>
                <w:rFonts w:ascii="Calibri" w:hAnsi="Calibri"/>
                <w:sz w:val="22"/>
              </w:rPr>
              <w:t>939 vested; 455 withheld for taxes</w:t>
            </w:r>
          </w:p>
        </w:tc>
        <w:tc>
          <w:tcPr>
            <w:tcW w:type="dxa" w:w="1440"/>
          </w:tcPr>
          <w:p>
            <w:r>
              <w:rPr>
                <w:rFonts w:ascii="Calibri" w:hAnsi="Calibri"/>
                <w:sz w:val="22"/>
              </w:rPr>
              <w:t>May 1, 2026</w:t>
            </w:r>
          </w:p>
        </w:tc>
        <w:tc>
          <w:tcPr>
            <w:tcW w:type="dxa" w:w="1440"/>
          </w:tcPr>
          <w:p>
            <w:r>
              <w:rPr>
                <w:rFonts w:ascii="Calibri" w:hAnsi="Calibri"/>
                <w:sz w:val="22"/>
              </w:rPr>
              <w:t>Routine RSU vest; tax withholding is obligation-driven, not discretionary sale</w:t>
            </w:r>
          </w:p>
        </w:tc>
      </w:tr>
    </w:tbl>
    <w:p>
      <w:r>
        <w:rPr>
          <w:rFonts w:ascii="Calibri" w:hAnsi="Calibri"/>
          <w:b/>
          <w:color w:val="525866"/>
          <w:sz w:val="22"/>
        </w:rPr>
        <w:t xml:space="preserve">Note: </w:t>
      </w:r>
      <w:r>
        <w:rPr>
          <w:rFonts w:ascii="Calibri" w:hAnsi="Calibri"/>
          <w:color w:val="525866"/>
          <w:sz w:val="22"/>
        </w:rPr>
        <w:t>No open-market purchases (Code P) or discretionary sales (Code S) were filed by any BIIB insider in the April 29 – July 28, 2026 window. All transactions are routine compensation-related events (annual director grants, RSU vests, tax withholding). No 10b5-1 plan initiations or Form 144 filings were identified in the period.</w:t>
      </w:r>
    </w:p>
    <w:p>
      <w:r>
        <w:rPr>
          <w:rFonts w:ascii="Calibri" w:hAnsi="Calibri"/>
          <w:b/>
          <w:color w:val="525866"/>
          <w:sz w:val="22"/>
        </w:rPr>
        <w:t xml:space="preserve">Source: </w:t>
      </w:r>
      <w:r>
        <w:rPr>
          <w:rFonts w:ascii="Calibri" w:hAnsi="Calibri"/>
          <w:color w:val="525866"/>
          <w:sz w:val="22"/>
        </w:rPr>
        <w:t>SEC Form 4 Filings Database.</w:t>
      </w:r>
    </w:p>
    <w:p>
      <w:r>
        <w:br w:type="page"/>
      </w:r>
    </w:p>
    <w:p>
      <w:pPr>
        <w:pStyle w:val="Heading1"/>
        <w:pBdr>
          <w:bottom w:val="single" w:sz="4" w:space="1" w:color="FB9120"/>
        </w:pBdr>
      </w:pPr>
      <w:r>
        <w:rPr>
          <w:rFonts w:ascii="Calibri" w:hAnsi="Calibri"/>
          <w:b/>
          <w:color w:val="3B4259"/>
          <w:sz w:val="40"/>
        </w:rPr>
        <w:t>9. Key Risks &amp; Q&amp;A Watch Items</w:t>
      </w:r>
    </w:p>
    <w:p>
      <w:r>
        <w:rPr>
          <w:rFonts w:ascii="Calibri" w:hAnsi="Calibri"/>
          <w:b/>
          <w:color w:val="525866"/>
          <w:sz w:val="22"/>
        </w:rPr>
        <w:t xml:space="preserve">Key Takeaway: </w:t>
      </w:r>
      <w:r>
        <w:rPr>
          <w:rFonts w:ascii="Calibri" w:hAnsi="Calibri"/>
          <w:color w:val="525866"/>
          <w:sz w:val="22"/>
        </w:rPr>
        <w:t>The Q2 call is unusually complex — it is simultaneously a routine quarterly print, the first Apellis-consolidated guidance event, and a post-BIIB080 CELIA miss narrative management moment. Investors should focus on the quality of the Apellis integration commentary and the credibility of the Phase 3 diranersen path, not the headline EPS number.</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 xml:space="preserve">BIIB080 (Diranersen) Phase 3 Credibility Risk: </w:t>
      </w:r>
      <w:r>
        <w:rPr>
          <w:rFonts w:ascii="Calibri" w:hAnsi="Calibri"/>
          <w:color w:val="525866"/>
          <w:sz w:val="22"/>
        </w:rPr>
        <w:t>CELIA missed its primary endpoint (CDR-SB dose response). Management is advancing to Phase 3 “with urgency,” but the market is skeptical. If the Phase 3 design is underpowered, the dose selection (60mg q6m) is questioned, or the FDA end-of-Phase-2 meeting timeline is unclear, the stock could re-test the July 14 lows. This is the single biggest narrative risk on the call.</w:t>
      </w:r>
    </w:p>
    <w:p>
      <w:pPr>
        <w:pStyle w:val="ListBullet"/>
        <w:ind w:left="360" w:hanging="360"/>
      </w:pPr>
      <w:r>
        <w:rPr>
          <w:rFonts w:ascii="Calibri" w:hAnsi="Calibri"/>
          <w:b/>
          <w:color w:val="525866"/>
          <w:sz w:val="22"/>
        </w:rPr>
        <w:t xml:space="preserve">Apellis Integration Complexity: </w:t>
      </w:r>
      <w:r>
        <w:rPr>
          <w:rFonts w:ascii="Calibri" w:hAnsi="Calibri"/>
          <w:color w:val="525866"/>
          <w:sz w:val="22"/>
        </w:rPr>
        <w:t>SYFOVRE is in a competitive geographic atrophy market (IZERVAY from AstraZeneca/Astellas is the primary competitor), requires DTC investment, and has a vasculitis safety history that required careful management. If the first consolidated guidance is below market expectations or the integration cost structure is higher than anticipated, the stock could sell off despite the strategic rationale.</w:t>
      </w:r>
    </w:p>
    <w:p>
      <w:pPr>
        <w:pStyle w:val="ListBullet"/>
        <w:ind w:left="360" w:hanging="360"/>
      </w:pPr>
      <w:r>
        <w:rPr>
          <w:rFonts w:ascii="Calibri" w:hAnsi="Calibri"/>
          <w:b/>
          <w:color w:val="525866"/>
          <w:sz w:val="22"/>
        </w:rPr>
        <w:t xml:space="preserve">Q3 IPR&amp;D Overhang ($290–320M / $1.75–$1.95/share): </w:t>
      </w:r>
      <w:r>
        <w:rPr>
          <w:rFonts w:ascii="Calibri" w:hAnsi="Calibri"/>
          <w:color w:val="525866"/>
          <w:sz w:val="22"/>
        </w:rPr>
        <w:t>The July 1 8-K flagged significant Q3 IPR&amp;D charges for “potential milestones and transactions that have not yet closed.” If management does not provide clarity on what these charges relate to, the uncertainty will weigh on the stock. Conversely, if the charges relate to high-value pipeline milestones (e.g., litifilimab Phase 3 success milestone), the market may view them positively.</w:t>
      </w:r>
    </w:p>
    <w:p>
      <w:pPr>
        <w:pStyle w:val="ListBullet"/>
        <w:ind w:left="360" w:hanging="360"/>
      </w:pPr>
      <w:r>
        <w:rPr>
          <w:rFonts w:ascii="Calibri" w:hAnsi="Calibri"/>
          <w:b/>
          <w:color w:val="525866"/>
          <w:sz w:val="22"/>
        </w:rPr>
        <w:t xml:space="preserve">MS Franchise Erosion Acceleration: </w:t>
      </w:r>
      <w:r>
        <w:rPr>
          <w:rFonts w:ascii="Calibri" w:hAnsi="Calibri"/>
          <w:color w:val="525866"/>
          <w:sz w:val="22"/>
        </w:rPr>
        <w:t>Roche’s Q2 commentary confirmed the anti-CD20 MS competitive environment is more intense than expected. TYSABRI faces biosimilar competition and TECFIDERA faces full-year generic erosion in Europe. If MS revenue declines faster than the mid-single digit full-year guide implies, the growth product offset may be insufficient.</w:t>
      </w:r>
    </w:p>
    <w:p>
      <w:pPr>
        <w:pStyle w:val="ListBullet"/>
        <w:ind w:left="360" w:hanging="360"/>
      </w:pPr>
      <w:r>
        <w:rPr>
          <w:rFonts w:ascii="Calibri" w:hAnsi="Calibri"/>
          <w:b/>
          <w:color w:val="525866"/>
          <w:sz w:val="22"/>
        </w:rPr>
        <w:t xml:space="preserve">LEQEMBI Subcu Adoption Pace: </w:t>
      </w:r>
      <w:r>
        <w:rPr>
          <w:rFonts w:ascii="Calibri" w:hAnsi="Calibri"/>
          <w:color w:val="525866"/>
          <w:sz w:val="22"/>
        </w:rPr>
        <w:t>IQLIK was approved May 13, but full Part D reimbursement for subcu initiation doesn’t begin until January 2027. If payer coverage is slower than expected or physician adoption of subcu initiation is gradual, the 2H 2026 LEQEMBI acceleration thesis could be pushed to 2027.</w:t>
      </w:r>
    </w:p>
    <w:p>
      <w:pPr>
        <w:pStyle w:val="ListBullet"/>
        <w:ind w:left="360" w:hanging="360"/>
      </w:pPr>
      <w:r>
        <w:rPr>
          <w:rFonts w:ascii="Calibri" w:hAnsi="Calibri"/>
          <w:b/>
          <w:color w:val="525866"/>
          <w:sz w:val="22"/>
        </w:rPr>
        <w:t xml:space="preserve">Litifilimab Phase 3 Binary Risk: </w:t>
      </w:r>
      <w:r>
        <w:rPr>
          <w:rFonts w:ascii="Calibri" w:hAnsi="Calibri"/>
          <w:color w:val="525866"/>
          <w:sz w:val="22"/>
        </w:rPr>
        <w:t>Two Phase 3 SLE readouts expected H2 2026. A negative outcome in both studies would be a significant negative catalyst, removing one of the key 2028 revenue growth drivers from the pipeline.</w:t>
      </w:r>
    </w:p>
    <w:p>
      <w:pPr>
        <w:pStyle w:val="Heading2"/>
      </w:pPr>
      <w:r>
        <w:rPr>
          <w:rFonts w:ascii="Calibri" w:hAnsi="Calibri"/>
          <w:b/>
          <w:color w:val="3B4259"/>
          <w:sz w:val="28"/>
        </w:rPr>
        <w:t>Q&amp;A Watch Items</w:t>
      </w:r>
    </w:p>
    <w:p>
      <w:pPr>
        <w:pStyle w:val="ListNumber"/>
        <w:ind w:left="360" w:hanging="360"/>
      </w:pPr>
      <w:r>
        <w:rPr>
          <w:rFonts w:ascii="Calibri" w:hAnsi="Calibri"/>
          <w:b/>
          <w:color w:val="525866"/>
          <w:sz w:val="22"/>
        </w:rPr>
        <w:t xml:space="preserve">BIIB080 Phase 3 Design: </w:t>
      </w:r>
      <w:r>
        <w:rPr>
          <w:rFonts w:ascii="Calibri" w:hAnsi="Calibri"/>
          <w:color w:val="525866"/>
          <w:sz w:val="22"/>
        </w:rPr>
        <w:t>What is the Phase 3 dose (60mg q6m confirmed?), patient population, primary endpoint, enrollment timeline, and FDA end-of-Phase-2 meeting status? Will the Alcyone intrathecal device be used?</w:t>
      </w:r>
    </w:p>
    <w:p>
      <w:pPr>
        <w:pStyle w:val="ListNumber"/>
        <w:ind w:left="360" w:hanging="360"/>
      </w:pPr>
      <w:r>
        <w:rPr>
          <w:rFonts w:ascii="Calibri" w:hAnsi="Calibri"/>
          <w:b/>
          <w:color w:val="525866"/>
          <w:sz w:val="22"/>
        </w:rPr>
        <w:t xml:space="preserve">First Consolidated Apellis Guidance: </w:t>
      </w:r>
      <w:r>
        <w:rPr>
          <w:rFonts w:ascii="Calibri" w:hAnsi="Calibri"/>
          <w:color w:val="525866"/>
          <w:sz w:val="22"/>
        </w:rPr>
        <w:t>What is the updated FY2026 revenue and non-GAAP EPS guidance including Apellis? What are the SYFOVRE and EMPAVELI revenue expectations for 2H 2026? What is the DTC investment plan and timeline?</w:t>
      </w:r>
    </w:p>
    <w:p>
      <w:pPr>
        <w:pStyle w:val="ListNumber"/>
        <w:ind w:left="360" w:hanging="360"/>
      </w:pPr>
      <w:r>
        <w:rPr>
          <w:rFonts w:ascii="Calibri" w:hAnsi="Calibri"/>
          <w:b/>
          <w:color w:val="525866"/>
          <w:sz w:val="22"/>
        </w:rPr>
        <w:t xml:space="preserve">Q3 IPR&amp;D Charges: </w:t>
      </w:r>
      <w:r>
        <w:rPr>
          <w:rFonts w:ascii="Calibri" w:hAnsi="Calibri"/>
          <w:color w:val="525866"/>
          <w:sz w:val="22"/>
        </w:rPr>
        <w:t>What transactions or milestones are driving the $290–320M Q3 IPR&amp;D charge? Are these related to litifilimab Phase 3 success milestones, salanersen milestones, or new BD transactions?</w:t>
      </w:r>
    </w:p>
    <w:p>
      <w:pPr>
        <w:pStyle w:val="ListNumber"/>
        <w:ind w:left="360" w:hanging="360"/>
      </w:pPr>
      <w:r>
        <w:rPr>
          <w:rFonts w:ascii="Calibri" w:hAnsi="Calibri"/>
          <w:b/>
          <w:color w:val="525866"/>
          <w:sz w:val="22"/>
        </w:rPr>
        <w:t xml:space="preserve">LEQEMBI Subcu Adoption: </w:t>
      </w:r>
      <w:r>
        <w:rPr>
          <w:rFonts w:ascii="Calibri" w:hAnsi="Calibri"/>
          <w:color w:val="525866"/>
          <w:sz w:val="22"/>
        </w:rPr>
        <w:t>How many patients have initiated on IQLIK subcu since the May 13 approval? What is the payer coverage status? Are formulary decisions for 2027 Part D reimbursement on track?</w:t>
      </w:r>
    </w:p>
    <w:p>
      <w:pPr>
        <w:pStyle w:val="ListNumber"/>
        <w:ind w:left="360" w:hanging="360"/>
      </w:pPr>
      <w:r>
        <w:rPr>
          <w:rFonts w:ascii="Calibri" w:hAnsi="Calibri"/>
          <w:b/>
          <w:color w:val="525866"/>
          <w:sz w:val="22"/>
        </w:rPr>
        <w:t xml:space="preserve">SPINRAZA HD Ramp: </w:t>
      </w:r>
      <w:r>
        <w:rPr>
          <w:rFonts w:ascii="Calibri" w:hAnsi="Calibri"/>
          <w:color w:val="525866"/>
          <w:sz w:val="22"/>
        </w:rPr>
        <w:t>How many patients have converted to HD in the US and Europe? Is the ~20% start form rate translating into revenue? What is the expected HD contribution to FY2026 SPINRAZA revenue?</w:t>
      </w:r>
    </w:p>
    <w:p>
      <w:pPr>
        <w:pStyle w:val="ListNumber"/>
        <w:ind w:left="360" w:hanging="360"/>
      </w:pPr>
      <w:r>
        <w:rPr>
          <w:rFonts w:ascii="Calibri" w:hAnsi="Calibri"/>
          <w:b/>
          <w:color w:val="525866"/>
          <w:sz w:val="22"/>
        </w:rPr>
        <w:t xml:space="preserve">Litifilimab Phase 3 Timing: </w:t>
      </w:r>
      <w:r>
        <w:rPr>
          <w:rFonts w:ascii="Calibri" w:hAnsi="Calibri"/>
          <w:color w:val="525866"/>
          <w:sz w:val="22"/>
        </w:rPr>
        <w:t>When exactly are the two Phase 3 SLE readouts expected? Is the TOPAZ-1 study on track for H2 2026? What is the filing strategy if both studies are positive?</w:t>
      </w:r>
    </w:p>
    <w:p>
      <w:pPr>
        <w:pStyle w:val="ListNumber"/>
        <w:ind w:left="360" w:hanging="360"/>
      </w:pPr>
      <w:r>
        <w:rPr>
          <w:rFonts w:ascii="Calibri" w:hAnsi="Calibri"/>
          <w:b/>
          <w:color w:val="525866"/>
          <w:sz w:val="22"/>
        </w:rPr>
        <w:t xml:space="preserve">MS Competitive Dynamics: </w:t>
      </w:r>
      <w:r>
        <w:rPr>
          <w:rFonts w:ascii="Calibri" w:hAnsi="Calibri"/>
          <w:color w:val="525866"/>
          <w:sz w:val="22"/>
        </w:rPr>
        <w:t>How is TYSABRI performing in the context of Roche’s commentary about intensifying anti-CD20 competition? Is the TYSABRI biosimilar impact tracking in line with expectations?</w:t>
      </w:r>
    </w:p>
    <w:p>
      <w:pPr>
        <w:pStyle w:val="ListNumber"/>
        <w:ind w:left="360" w:hanging="360"/>
      </w:pPr>
      <w:r>
        <w:rPr>
          <w:rFonts w:ascii="Calibri" w:hAnsi="Calibri"/>
          <w:b/>
          <w:color w:val="525866"/>
          <w:sz w:val="22"/>
        </w:rPr>
        <w:t xml:space="preserve">Dapirolizumab Regulatory Path: </w:t>
      </w:r>
      <w:r>
        <w:rPr>
          <w:rFonts w:ascii="Calibri" w:hAnsi="Calibri"/>
          <w:color w:val="525866"/>
          <w:sz w:val="22"/>
        </w:rPr>
        <w:t>Following the positive Phase 3 SLE data, what is the regulatory filing timeline for dapirolizumab? Will Biogen take the marketing lead in the US and Japan as previously stated?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