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BLDR (Builders FirstSource) to build this earnings preview. Let me gather recent filings, transcripts, news, and stock data.Fiscal labeling here is shifted — the most recent report is 2026Q1 (April 30, 2026), and the year-ago comparison for tomorrow's 2026Q2 is the 2025Q2 report. Let me read the latest release and transcript plus the year-ago release.The fiscal labels are just calendar quarters — tomorrow's "2026Q2" is the quarter ended June 30, 2026. I pulled the wrong year of stock data. Let me correct that and gather the Q1 2026 call transcript plus recent news and peer/macro context.Let me pull recent news/estimates and peer read-through to round out the preview.I have what I need. Let me quickly compute the key stock-performance and guidance math to anchor the preview.# Builders FirstSource (BLDR) — Q2 2026 Earnings Preview</w:t>
      </w:r>
      <w:r>
        <w:t xml:space="preserve"> </w:t>
      </w:r>
      <w:r>
        <w:rPr>
          <w:b/>
          <w:bCs/>
        </w:rPr>
        <w:t xml:space="preserve">Reports:</w:t>
      </w:r>
      <w:r>
        <w:t xml:space="preserve"> </w:t>
      </w:r>
      <w:r>
        <w:t xml:space="preserve">Thursday, July 30, 2026 (before market open) · Conference call 8:00 a.m. Central · Quarter ended June 30, 2026</w:t>
      </w:r>
    </w:p>
    <w:p>
      <w:r>
        <w:pict>
          <v:rect style="width:0;height:1.5pt" o:hralign="center" o:hrstd="t" o:hr="t"/>
        </w:pict>
      </w:r>
    </w:p>
    <w:bookmarkStart w:id="9" w:name="Xcf602bb59f385f52efb23d9927aeddbbc26ab65"/>
    <w:p>
      <w:pPr>
        <w:pStyle w:val="Heading2"/>
      </w:pPr>
      <w:r>
        <w:t xml:space="preserve">1. The one-line setup</w:t>
      </w:r>
    </w:p>
    <w:p>
      <w:pPr>
        <w:pStyle w:val="FirstParagraph"/>
      </w:pPr>
      <w:r>
        <w:t xml:space="preserve">BLDR heads into its Q2 print as a broken momentum stock in a stubbornly weak housing market. The shares are down</w:t>
      </w:r>
      <w:r>
        <w:t xml:space="preserve"> </w:t>
      </w:r>
      <w:r>
        <w:rPr>
          <w:b/>
          <w:bCs/>
        </w:rPr>
        <w:t xml:space="preserve">~33% YTD in 2026</w:t>
      </w:r>
      <w:r>
        <w:t xml:space="preserve"> </w:t>
      </w:r>
      <w:r>
        <w:t xml:space="preserve">and roughly</w:t>
      </w:r>
      <w:r>
        <w:t xml:space="preserve"> </w:t>
      </w:r>
      <w:r>
        <w:rPr>
          <w:b/>
          <w:bCs/>
        </w:rPr>
        <w:t xml:space="preserve">60% below their early-2025 peak</w:t>
      </w:r>
      <w:r>
        <w:t xml:space="preserve">, and they've fallen</w:t>
      </w:r>
      <w:r>
        <w:t xml:space="preserve"> </w:t>
      </w:r>
      <w:r>
        <w:rPr>
          <w:b/>
          <w:bCs/>
        </w:rPr>
        <w:t xml:space="preserve">~23% in the past month alone</w:t>
      </w:r>
      <w:r>
        <w:t xml:space="preserve"> </w:t>
      </w:r>
      <w:r>
        <w:t xml:space="preserve">into the print (close of $69.72 on 7/29). That is dramatic underperformance versus homebuilders —</w:t>
      </w:r>
      <w:r>
        <w:t xml:space="preserve"> </w:t>
      </w:r>
      <w:r>
        <w:rPr>
          <w:b/>
          <w:bCs/>
        </w:rPr>
        <w:t xml:space="preserve">D.R. Horton is roughly flat YTD and Lennar is down ~18%</w:t>
      </w:r>
      <w:r>
        <w:t xml:space="preserve"> </w:t>
      </w:r>
      <w:r>
        <w:t xml:space="preserve">— which tells you the market views BLDR's problem as margin/deleveraging, not just cyclical volume.</w:t>
      </w:r>
    </w:p>
    <w:p>
      <w:pPr>
        <w:pStyle w:val="BodyText"/>
      </w:pPr>
      <w:r>
        <w:t xml:space="preserve">The whole quarter comes down to</w:t>
      </w:r>
      <w:r>
        <w:t xml:space="preserve"> </w:t>
      </w:r>
      <w:r>
        <w:rPr>
          <w:b/>
          <w:bCs/>
        </w:rPr>
        <w:t xml:space="preserve">one question: is the second-half margin recovery management promised still on track, or does guidance get cut again?</w:t>
      </w:r>
    </w:p>
    <w:p>
      <w:r>
        <w:pict>
          <v:rect style="width:0;height:1.5pt" o:hralign="center" o:hrstd="t" o:hr="t"/>
        </w:pict>
      </w:r>
    </w:p>
    <w:bookmarkEnd w:id="9"/>
    <w:bookmarkStart w:id="10" w:name="X85dafa09d4311e07acf602050d15f73c5f7b8a2"/>
    <w:p>
      <w:pPr>
        <w:pStyle w:val="Heading2"/>
      </w:pPr>
      <w:r>
        <w:t xml:space="preserve">2. The bar management itself set</w:t>
      </w:r>
    </w:p>
    <w:p>
      <w:pPr>
        <w:pStyle w:val="FirstParagraph"/>
      </w:pPr>
      <w:r>
        <w:t xml:space="preserve">On the Q1 call (April 30), CFO Pete Beckmann gave unusually explicit Q2 guardrails. This is your scorecard: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Q2'26 guidance</w:t>
            </w:r>
          </w:p>
        </w:tc>
        <w:tc>
          <w:tcPr/>
          <w:p>
            <w:pPr>
              <w:pStyle w:val="Compact"/>
            </w:pPr>
            <w:r>
              <w:t xml:space="preserve">Q2'25 actual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$3.75B – $4.05B</w:t>
            </w:r>
          </w:p>
        </w:tc>
        <w:tc>
          <w:tcPr/>
          <w:p>
            <w:pPr>
              <w:pStyle w:val="Compact"/>
            </w:pPr>
            <w:r>
              <w:t xml:space="preserve">$4.23B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-11% to -4%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$300M – $350M</w:t>
            </w:r>
          </w:p>
        </w:tc>
        <w:tc>
          <w:tcPr/>
          <w:p>
            <w:pPr>
              <w:pStyle w:val="Compact"/>
            </w:pPr>
            <w:r>
              <w:t xml:space="preserve">$506M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-41% to -31%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Adj. EBITDA margin</w:t>
            </w:r>
          </w:p>
        </w:tc>
        <w:tc>
          <w:tcPr/>
          <w:p>
            <w:pPr>
              <w:pStyle w:val="Compact"/>
            </w:pPr>
            <w:r>
              <w:t xml:space="preserve">~7.4% – 9.3%</w:t>
            </w:r>
          </w:p>
        </w:tc>
        <w:tc>
          <w:tcPr/>
          <w:p>
            <w:pPr>
              <w:pStyle w:val="Compact"/>
            </w:pPr>
            <w:r>
              <w:t xml:space="preserve">12.0%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-270 to -460 bps</w:t>
            </w:r>
          </w:p>
        </w:tc>
      </w:tr>
    </w:tbl>
    <w:p>
      <w:pPr>
        <w:pStyle w:val="BodyText"/>
      </w:pPr>
      <w:r>
        <w:t xml:space="preserve">For reference, Q2 is seasonally BLDR's strongest quarter, so this is a low bar by the company's own history. Year-ago Q2 delivered</w:t>
      </w:r>
      <w:r>
        <w:t xml:space="preserve"> </w:t>
      </w:r>
      <w:r>
        <w:rPr>
          <w:b/>
          <w:bCs/>
        </w:rPr>
        <w:t xml:space="preserve">$1.66 GAAP / $2.38 adjusted EPS</w:t>
      </w:r>
      <w:r>
        <w:t xml:space="preserve">; expect a steep step-down again this year.</w:t>
      </w:r>
    </w:p>
    <w:p>
      <w:pPr>
        <w:pStyle w:val="BodyText"/>
      </w:pPr>
      <w:r>
        <w:rPr>
          <w:b/>
          <w:bCs/>
        </w:rPr>
        <w:t xml:space="preserve">Full-year 2026 guide (already cut once in April):</w:t>
      </w:r>
    </w:p>
    <w:p>
      <w:pPr>
        <w:pStyle w:val="Compact"/>
        <w:numPr>
          <w:ilvl w:val="0"/>
          <w:numId w:val="1001"/>
        </w:numPr>
      </w:pPr>
      <w:r>
        <w:t xml:space="preserve">Net sales</w:t>
      </w:r>
      <w:r>
        <w:t xml:space="preserve"> </w:t>
      </w:r>
      <m:oMath>
        <m:r>
          <m:t>14.6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15.6B</w:t>
      </w:r>
      <w:r>
        <w:t xml:space="preserve">; gross margin</w:t>
      </w:r>
      <w:r>
        <w:t xml:space="preserve"> </w:t>
      </w:r>
      <w:r>
        <w:rPr>
          <w:b/>
          <w:bCs/>
        </w:rPr>
        <w:t xml:space="preserve">27.5%–29%</w:t>
      </w:r>
    </w:p>
    <w:p>
      <w:pPr>
        <w:pStyle w:val="Compact"/>
        <w:numPr>
          <w:ilvl w:val="0"/>
          <w:numId w:val="1001"/>
        </w:numPr>
      </w:pPr>
      <w:r>
        <w:t xml:space="preserve">Adj. EBITDA</w:t>
      </w:r>
      <w:r>
        <w:t xml:space="preserve"> </w:t>
      </w:r>
      <m:oMath>
        <m:r>
          <m:t>1.1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1.5B</w:t>
      </w:r>
      <w:r>
        <w:t xml:space="preserve"> </w:t>
      </w:r>
      <w:r>
        <w:t xml:space="preserve">(an extremely wide $400M range — a tell that visibility is poor)</w:t>
      </w:r>
    </w:p>
    <w:p>
      <w:pPr>
        <w:pStyle w:val="Compact"/>
        <w:numPr>
          <w:ilvl w:val="0"/>
          <w:numId w:val="1001"/>
        </w:numPr>
      </w:pPr>
      <w:r>
        <w:t xml:space="preserve">Free cash flow</w:t>
      </w:r>
      <w:r>
        <w:t xml:space="preserve"> </w:t>
      </w:r>
      <w:r>
        <w:rPr>
          <w:b/>
          <w:bCs/>
        </w:rPr>
        <w:t xml:space="preserve">~</w:t>
      </w:r>
      <m:oMath>
        <m:r>
          <m:t>400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500M</w:t>
      </w:r>
    </w:p>
    <w:p>
      <w:pPr>
        <w:pStyle w:val="Compact"/>
        <w:numPr>
          <w:ilvl w:val="0"/>
          <w:numId w:val="1001"/>
        </w:numPr>
      </w:pPr>
      <w:r>
        <w:t xml:space="preserve">Assumes single-family and multi-family starts</w:t>
      </w:r>
      <w:r>
        <w:t xml:space="preserve"> </w:t>
      </w:r>
      <w:r>
        <w:rPr>
          <w:b/>
          <w:bCs/>
        </w:rPr>
        <w:t xml:space="preserve">down ~2.5%</w:t>
      </w:r>
      <w:r>
        <w:t xml:space="preserve">, R&amp;R</w:t>
      </w:r>
      <w:r>
        <w:t xml:space="preserve"> </w:t>
      </w:r>
      <w:r>
        <w:rPr>
          <w:b/>
          <w:bCs/>
        </w:rPr>
        <w:t xml:space="preserve">down 1%</w:t>
      </w:r>
      <w:r>
        <w:t xml:space="preserve">, ~$400/mbf lumber</w:t>
      </w:r>
    </w:p>
    <w:p>
      <w:pPr>
        <w:pStyle w:val="FirstParagraph"/>
      </w:pPr>
      <w:r>
        <w:t xml:space="preserve">The critical structural assumption: management said the year is</w:t>
      </w:r>
      <w:r>
        <w:t xml:space="preserve"> </w:t>
      </w:r>
      <w:r>
        <w:rPr>
          <w:b/>
          <w:bCs/>
        </w:rPr>
        <w:t xml:space="preserve">back-half weighted</w:t>
      </w:r>
      <w:r>
        <w:t xml:space="preserve">, implying ~9.6% EBITDA margin in 2H vs. ~7.6% in 1H.</w:t>
      </w:r>
      <w:r>
        <w:t xml:space="preserve"> </w:t>
      </w:r>
      <w:r>
        <w:rPr>
          <w:b/>
          <w:bCs/>
        </w:rPr>
        <w:t xml:space="preserve">Q2 is the first real test of that ramp.</w:t>
      </w:r>
      <w:r>
        <w:t xml:space="preserve"> </w:t>
      </w:r>
      <w:r>
        <w:t xml:space="preserve">If Q2 lands at/below the low end and the H2 hockey stick doesn't show up, expect the full-year EBITDA range to be trimmed again — and the stock is already positioned for it.</w:t>
      </w:r>
    </w:p>
    <w:p>
      <w:r>
        <w:pict>
          <v:rect style="width:0;height:1.5pt" o:hralign="center" o:hrstd="t" o:hr="t"/>
        </w:pict>
      </w:r>
    </w:p>
    <w:bookmarkEnd w:id="10"/>
    <w:bookmarkStart w:id="11" w:name="Xc456d48191a9dcb5c02e78498c5302ee74d290c"/>
    <w:p>
      <w:pPr>
        <w:pStyle w:val="Heading2"/>
      </w:pPr>
      <w:r>
        <w:t xml:space="preserve">3. Where Q1 left off (the trajectory)</w:t>
      </w:r>
    </w:p>
    <w:p>
      <w:pPr>
        <w:pStyle w:val="FirstParagraph"/>
      </w:pPr>
      <w:r>
        <w:t xml:space="preserve">Q1 2026 was ugly and set a cautious tone:</w:t>
      </w:r>
    </w:p>
    <w:p>
      <w:pPr>
        <w:pStyle w:val="Compact"/>
        <w:numPr>
          <w:ilvl w:val="0"/>
          <w:numId w:val="1002"/>
        </w:numPr>
      </w:pPr>
      <w:r>
        <w:t xml:space="preserve">Net sales</w:t>
      </w:r>
      <w:r>
        <w:t xml:space="preserve"> </w:t>
      </w:r>
      <w:r>
        <w:rPr>
          <w:b/>
          <w:bCs/>
        </w:rPr>
        <w:t xml:space="preserve">$3.29B, -10.1%</w:t>
      </w:r>
      <w:r>
        <w:t xml:space="preserve"> </w:t>
      </w:r>
      <w:r>
        <w:t xml:space="preserve">(core organic -8.3%, of which single-family</w:t>
      </w:r>
      <w:r>
        <w:t xml:space="preserve"> </w:t>
      </w:r>
      <w:r>
        <w:rPr>
          <w:b/>
          <w:bCs/>
        </w:rPr>
        <w:t xml:space="preserve">-11.1%</w:t>
      </w:r>
      <w:r>
        <w:t xml:space="preserve">; commodity deflation -3.3%; +1.5% M&amp;A)</w:t>
      </w:r>
    </w:p>
    <w:p>
      <w:pPr>
        <w:pStyle w:val="Compact"/>
        <w:numPr>
          <w:ilvl w:val="0"/>
          <w:numId w:val="1002"/>
        </w:numPr>
      </w:pPr>
      <w:r>
        <w:t xml:space="preserve">Gross margin</w:t>
      </w:r>
      <w:r>
        <w:t xml:space="preserve"> </w:t>
      </w:r>
      <w:r>
        <w:rPr>
          <w:b/>
          <w:bCs/>
        </w:rPr>
        <w:t xml:space="preserve">28.3%, -220 bps</w:t>
      </w:r>
    </w:p>
    <w:p>
      <w:pPr>
        <w:pStyle w:val="Compact"/>
        <w:numPr>
          <w:ilvl w:val="0"/>
          <w:numId w:val="1002"/>
        </w:numPr>
      </w:pPr>
      <w:r>
        <w:t xml:space="preserve">Adj. EBITDA</w:t>
      </w:r>
      <w:r>
        <w:t xml:space="preserve"> </w:t>
      </w:r>
      <w:r>
        <w:rPr>
          <w:b/>
          <w:bCs/>
        </w:rPr>
        <w:t xml:space="preserve">$214M, -42%</w:t>
      </w:r>
      <w:r>
        <w:t xml:space="preserve">, margin just</w:t>
      </w:r>
      <w:r>
        <w:t xml:space="preserve"> </w:t>
      </w:r>
      <w:r>
        <w:rPr>
          <w:b/>
          <w:bCs/>
        </w:rPr>
        <w:t xml:space="preserve">6.5%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GAAP net loss of</w:t>
      </w:r>
      <w:r>
        <w:rPr>
          <w:b/>
          <w:bCs/>
        </w:rPr>
        <w:t xml:space="preserve"> </w:t>
      </w:r>
      <m:oMath>
        <m:r>
          <m:rPr>
            <m:sty m:val="p"/>
          </m:rPr>
          <m:t>(</m:t>
        </m:r>
        <m:r>
          <m:t>0.43</m:t>
        </m:r>
        <m:r>
          <m:rPr>
            <m:sty m:val="p"/>
          </m:rPr>
          <m:t>)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0.27</w:t>
      </w:r>
      <w:r>
        <w:t xml:space="preserve"> </w:t>
      </w:r>
      <w:r>
        <w:t xml:space="preserve">(vs. $1.51 a year ago)</w:t>
      </w:r>
    </w:p>
    <w:p>
      <w:pPr>
        <w:pStyle w:val="FirstParagraph"/>
      </w:pPr>
      <w:r>
        <w:t xml:space="preserve">Importantly, management said Q1 came in at the</w:t>
      </w:r>
      <w:r>
        <w:t xml:space="preserve"> </w:t>
      </w:r>
      <w:r>
        <w:rPr>
          <w:b/>
          <w:bCs/>
        </w:rPr>
        <w:t xml:space="preserve">upper end</w:t>
      </w:r>
      <w:r>
        <w:t xml:space="preserve"> </w:t>
      </w:r>
      <w:r>
        <w:t xml:space="preserve">of its expected range "even as the macro was worse than we expected," and CEO Peter Jackson flagged that the</w:t>
      </w:r>
      <w:r>
        <w:t xml:space="preserve"> </w:t>
      </w:r>
      <w:r>
        <w:rPr>
          <w:b/>
          <w:bCs/>
        </w:rPr>
        <w:t xml:space="preserve">Middle East conflict</w:t>
      </w:r>
      <w:r>
        <w:t xml:space="preserve"> </w:t>
      </w:r>
      <w:r>
        <w:t xml:space="preserve">surprised the spring selling season by pushing interest rates and inflation higher and denting consumer confidence. That macro backdrop is still live — the 7/28–7/29 news flow shows renewed U.S.–Iran escalation and an oil spike — so don't expect a tone shift toward optimism.</w:t>
      </w:r>
    </w:p>
    <w:p>
      <w:r>
        <w:pict>
          <v:rect style="width:0;height:1.5pt" o:hralign="center" o:hrstd="t" o:hr="t"/>
        </w:pict>
      </w:r>
    </w:p>
    <w:bookmarkEnd w:id="11"/>
    <w:bookmarkStart w:id="12" w:name="Xe0c5f42359f27fd3e1724266acc95220dbe16c2"/>
    <w:p>
      <w:pPr>
        <w:pStyle w:val="Heading2"/>
      </w:pPr>
      <w:r>
        <w:t xml:space="preserve">4. Key debates &amp; what to listen for</w:t>
      </w:r>
    </w:p>
    <w:p>
      <w:pPr>
        <w:pStyle w:val="FirstParagraph"/>
      </w:pPr>
      <w:r>
        <w:rPr>
          <w:b/>
          <w:bCs/>
        </w:rPr>
        <w:t xml:space="preserve">a) Gross margin — the swing factor.</w:t>
      </w:r>
      <w:r>
        <w:t xml:space="preserve"> </w:t>
      </w:r>
      <w:r>
        <w:t xml:space="preserve">The recurring negative surprise has been</w:t>
      </w:r>
      <w:r>
        <w:t xml:space="preserve"> </w:t>
      </w:r>
      <w:r>
        <w:rPr>
          <w:b/>
          <w:bCs/>
        </w:rPr>
        <w:t xml:space="preserve">specialty/"other" products</w:t>
      </w:r>
      <w:r>
        <w:t xml:space="preserve"> </w:t>
      </w:r>
      <w:r>
        <w:t xml:space="preserve">(siding, roofing, gypsum, cement, etc.), where margins tightened faster than expected. Management ranked specialty as the #1 driver of the margin cut. Watch whether specialty stabilizes and whether the "resets" have now worked all the way through the P&amp;L (lumber → value-add → specialty). Also watch</w:t>
      </w:r>
      <w:r>
        <w:t xml:space="preserve"> </w:t>
      </w:r>
      <w:r>
        <w:rPr>
          <w:b/>
          <w:bCs/>
        </w:rPr>
        <w:t xml:space="preserve">mix</w:t>
      </w:r>
      <w:r>
        <w:t xml:space="preserve">: BLDR is leaning back into lower-margin lumber via bundling to fill capacity and win strategic share — good for share, a drag on reported margin.</w:t>
      </w:r>
    </w:p>
    <w:p>
      <w:pPr>
        <w:pStyle w:val="BodyText"/>
      </w:pPr>
      <w:r>
        <w:rPr>
          <w:b/>
          <w:bCs/>
        </w:rPr>
        <w:t xml:space="preserve">b) Price/cost and inflation.</w:t>
      </w:r>
      <w:r>
        <w:t xml:space="preserve"> </w:t>
      </w:r>
      <w:r>
        <w:t xml:space="preserve">Diesel/fuel and higher input costs are a</w:t>
      </w:r>
      <w:r>
        <w:t xml:space="preserve"> </w:t>
      </w:r>
      <w:r>
        <w:rPr>
          <w:b/>
          <w:bCs/>
        </w:rPr>
        <w:t xml:space="preserve">~$100M gross headwind for 2026</w:t>
      </w:r>
      <w:r>
        <w:t xml:space="preserve"> </w:t>
      </w:r>
      <w:r>
        <w:t xml:space="preserve">that management said it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expect to fully offset. As a distributor, BLDR passes through via surcharges and pricing, but with a lag and with builders resisting increases on affordability grounds. Commodity lumber has been rising since December — normally a modest tailwind, but truss/manufactured pricing lags on a bid-and-quote basis. Net price/cost commentary will move the margin narrative.</w:t>
      </w:r>
    </w:p>
    <w:p>
      <w:pPr>
        <w:pStyle w:val="BodyText"/>
      </w:pPr>
      <w:r>
        <w:rPr>
          <w:b/>
          <w:bCs/>
        </w:rPr>
        <w:t xml:space="preserve">c) Volume &amp; the "value-per-start" drag.</w:t>
      </w:r>
      <w:r>
        <w:t xml:space="preserve"> </w:t>
      </w:r>
      <w:r>
        <w:t xml:space="preserve">Even flat-ish starts translate into weaker sales because homes are smaller/simpler — management estimates a comparable start is worth</w:t>
      </w:r>
      <w:r>
        <w:t xml:space="preserve"> </w:t>
      </w:r>
      <w:r>
        <w:rPr>
          <w:b/>
          <w:bCs/>
        </w:rPr>
        <w:t xml:space="preserve">~10% less than 2019</w:t>
      </w:r>
      <w:r>
        <w:t xml:space="preserve">, plus a ~3-month lag from start to first sale. Single-family down double digits in Q1; watch whether the "daily sales building into April/May" seasonal cadence held through June.</w:t>
      </w:r>
    </w:p>
    <w:p>
      <w:pPr>
        <w:pStyle w:val="BodyText"/>
      </w:pPr>
      <w:r>
        <w:rPr>
          <w:b/>
          <w:bCs/>
        </w:rPr>
        <w:t xml:space="preserve">d) Multi-family.</w:t>
      </w:r>
      <w:r>
        <w:t xml:space="preserve"> </w:t>
      </w:r>
      <w:r>
        <w:t xml:space="preserve">Management said quoting is active but rate-driven deferrals mean</w:t>
      </w:r>
      <w:r>
        <w:t xml:space="preserve"> </w:t>
      </w:r>
      <w:r>
        <w:rPr>
          <w:b/>
          <w:bCs/>
        </w:rPr>
        <w:t xml:space="preserve">no meaningful multi-family recovery until 2027</w:t>
      </w:r>
      <w:r>
        <w:t xml:space="preserve">. Any change here matters for 2027 setup.</w:t>
      </w:r>
    </w:p>
    <w:p>
      <w:pPr>
        <w:pStyle w:val="BodyText"/>
      </w:pPr>
      <w:r>
        <w:rPr>
          <w:b/>
          <w:bCs/>
        </w:rPr>
        <w:t xml:space="preserve">e) Cost actions &amp; share gains.</w:t>
      </w:r>
      <w:r>
        <w:t xml:space="preserve"> </w:t>
      </w:r>
      <w:r>
        <w:t xml:space="preserve">BLDR is executing **</w:t>
      </w:r>
      <m:oMath>
        <m:r>
          <m:t>100</m:t>
        </m:r>
        <m:r>
          <m:t>M</m:t>
        </m:r>
        <m:r>
          <m:t>o</m:t>
        </m:r>
        <m:r>
          <m:t>f</m:t>
        </m:r>
        <m:r>
          <m:t>c</m:t>
        </m:r>
        <m:r>
          <m:t>o</m:t>
        </m:r>
        <m:r>
          <m:t>s</m:t>
        </m:r>
        <m:r>
          <m:t>t</m:t>
        </m:r>
        <m:r>
          <m:t>a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t xml:space="preserve">75M reductions + $25M avoidance) and</w:t>
      </w:r>
      <w:r>
        <w:t xml:space="preserve"> </w:t>
      </w:r>
      <m:oMath>
        <m:r>
          <m:t>50</m:t>
        </m:r>
        <m:r>
          <m:t>M</m:t>
        </m:r>
        <m:r>
          <m:rPr>
            <m:sty m:val="p"/>
          </m:rPr>
          <m:t>–</m:t>
        </m:r>
      </m:oMath>
      <w:r>
        <w:t xml:space="preserve">70M of productivity for the year, with 21 facilities consolidated YTD. It claims to be</w:t>
      </w:r>
      <w:r>
        <w:t xml:space="preserve"> </w:t>
      </w:r>
      <w:r>
        <w:rPr>
          <w:b/>
          <w:bCs/>
        </w:rPr>
        <w:t xml:space="preserve">taking share</w:t>
      </w:r>
      <w:r>
        <w:t xml:space="preserve"> </w:t>
      </w:r>
      <w:r>
        <w:t xml:space="preserve">as smaller/private competitors struggle (layoffs, closures, "unable to pay bills"). Quantifying realized cost savings vs. plan is key to the H2 leverage story.</w:t>
      </w:r>
    </w:p>
    <w:p>
      <w:r>
        <w:pict>
          <v:rect style="width:0;height:1.5pt" o:hralign="center" o:hrstd="t" o:hr="t"/>
        </w:pict>
      </w:r>
    </w:p>
    <w:bookmarkEnd w:id="12"/>
    <w:bookmarkStart w:id="13" w:name="X999faf3cc63cdfb1eed09a09a58ac6cd1431a7e"/>
    <w:p>
      <w:pPr>
        <w:pStyle w:val="Heading2"/>
      </w:pPr>
      <w:r>
        <w:t xml:space="preserve">5. Capital allocation &amp; balance sheet (a real point of tension)</w:t>
      </w:r>
    </w:p>
    <w:p>
      <w:pPr>
        <w:pStyle w:val="Compact"/>
        <w:numPr>
          <w:ilvl w:val="0"/>
          <w:numId w:val="1003"/>
        </w:numPr>
      </w:pPr>
      <w:r>
        <w:t xml:space="preserve">BLDR repurchased</w:t>
      </w:r>
      <w:r>
        <w:t xml:space="preserve"> </w:t>
      </w:r>
      <w:r>
        <w:rPr>
          <w:b/>
          <w:bCs/>
        </w:rPr>
        <w:t xml:space="preserve">3.3M shares at</w:t>
      </w:r>
      <w:r>
        <w:rPr>
          <w:b/>
          <w:bCs/>
        </w:rPr>
        <w:t xml:space="preserve"> </w:t>
      </w:r>
      <m:oMath>
        <m:r>
          <m:t>92.25</m:t>
        </m:r>
        <m:r>
          <m:rPr>
            <m:sty m:val="p"/>
          </m:rPr>
          <m:t>(</m:t>
        </m:r>
        <m:r>
          <m:t> </m:t>
        </m:r>
      </m:oMath>
      <w:r>
        <w:rPr>
          <w:b/>
          <w:bCs/>
        </w:rPr>
        <w:t xml:space="preserve">303M) in Q1</w:t>
      </w:r>
      <w:r>
        <w:t xml:space="preserve"> </w:t>
      </w:r>
      <w:r>
        <w:t xml:space="preserve">and the Board authorized a fresh</w:t>
      </w:r>
      <w:r>
        <w:t xml:space="preserve"> </w:t>
      </w:r>
      <w:r>
        <w:rPr>
          <w:b/>
          <w:bCs/>
        </w:rPr>
        <w:t xml:space="preserve">$500M</w:t>
      </w:r>
      <w:r>
        <w:t xml:space="preserve"> </w:t>
      </w:r>
      <w:r>
        <w:t xml:space="preserve">buyback. Since 2021 it has retired</w:t>
      </w:r>
      <w:r>
        <w:t xml:space="preserve"> </w:t>
      </w:r>
      <w:r>
        <w:rPr>
          <w:b/>
          <w:bCs/>
        </w:rPr>
        <w:t xml:space="preserve">~50% of shares outstanding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But leverage is now</w:t>
      </w:r>
      <w:r>
        <w:t xml:space="preserve"> </w:t>
      </w:r>
      <w:r>
        <w:rPr>
          <w:b/>
          <w:bCs/>
        </w:rPr>
        <w:t xml:space="preserve">3.2x net debt/EBITDA</w:t>
      </w:r>
      <w:r>
        <w:t xml:space="preserve"> </w:t>
      </w:r>
      <w:r>
        <w:t xml:space="preserve">— well above the stated</w:t>
      </w:r>
      <w:r>
        <w:t xml:space="preserve"> </w:t>
      </w:r>
      <w:r>
        <w:rPr>
          <w:b/>
          <w:bCs/>
        </w:rPr>
        <w:t xml:space="preserve">1–2x</w:t>
      </w:r>
      <w:r>
        <w:t xml:space="preserve"> </w:t>
      </w:r>
      <w:r>
        <w:t xml:space="preserve">comfort zone — on</w:t>
      </w:r>
      <w:r>
        <w:t xml:space="preserve"> </w:t>
      </w:r>
      <w:r>
        <w:rPr>
          <w:b/>
          <w:bCs/>
        </w:rPr>
        <w:t xml:space="preserve">$4.6B net debt</w:t>
      </w:r>
      <w:r>
        <w:t xml:space="preserve"> </w:t>
      </w:r>
      <w:r>
        <w:t xml:space="preserve">and falling EBITDA. Management insists the balance sheet is "bulletproof" and net debt levels are comfortable, with $1.5B liquidity.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Watch the Q2 buyback pace.</w:t>
      </w:r>
      <w:r>
        <w:t xml:space="preserve"> </w:t>
      </w:r>
      <w:r>
        <w:t xml:space="preserve">The stock now trades</w:t>
      </w:r>
      <w:r>
        <w:t xml:space="preserve"> </w:t>
      </w:r>
      <w:r>
        <w:rPr>
          <w:b/>
          <w:bCs/>
        </w:rPr>
        <w:t xml:space="preserve">~$70, well below the $92 Q1 average repurchase price</w:t>
      </w:r>
      <w:r>
        <w:t xml:space="preserve">, so aggressive buying would be accretive — but doing so while EBITDA shrinks and leverage sits above target invites scrutiny. This is a genuine bull/bear debate: buyback-driven EPS support vs. balance-sheet discipline.</w:t>
      </w:r>
    </w:p>
    <w:p>
      <w:pPr>
        <w:pStyle w:val="Compact"/>
        <w:numPr>
          <w:ilvl w:val="0"/>
          <w:numId w:val="1003"/>
        </w:numPr>
      </w:pPr>
      <w:r>
        <w:t xml:space="preserve">FCF cadence: management expects H2 to</w:t>
      </w:r>
      <w:r>
        <w:t xml:space="preserve"> </w:t>
      </w:r>
      <w:r>
        <w:rPr>
          <w:i/>
          <w:iCs/>
        </w:rPr>
        <w:t xml:space="preserve">consume</w:t>
      </w:r>
      <w:r>
        <w:t xml:space="preserve"> </w:t>
      </w:r>
      <w:r>
        <w:t xml:space="preserve">working capital (receivables build on higher daily sales), so Q2 FCF may look soft even if sales improve.</w:t>
      </w:r>
    </w:p>
    <w:p>
      <w:r>
        <w:pict>
          <v:rect style="width:0;height:1.5pt" o:hralign="center" o:hrstd="t" o:hr="t"/>
        </w:pict>
      </w:r>
    </w:p>
    <w:bookmarkEnd w:id="13"/>
    <w:bookmarkStart w:id="14" w:name="X93eb284c24b0c2f8a3ded64b8c1649b4d3d7905"/>
    <w:p>
      <w:pPr>
        <w:pStyle w:val="Heading2"/>
      </w:pPr>
      <w:r>
        <w:t xml:space="preserve">6. Stock &amp; valuation</w:t>
      </w:r>
    </w:p>
    <w:p>
      <w:pPr>
        <w:pStyle w:val="Compact"/>
        <w:numPr>
          <w:ilvl w:val="0"/>
          <w:numId w:val="1004"/>
        </w:numPr>
      </w:pPr>
      <w:r>
        <w:t xml:space="preserve">At ~</w:t>
      </w:r>
      <m:oMath>
        <m:r>
          <m:t>70</m:t>
        </m:r>
        <m:r>
          <m:rPr>
            <m:sty m:val="p"/>
          </m:rPr>
          <m:t>,</m:t>
        </m:r>
        <m:r>
          <m:t>B</m:t>
        </m:r>
        <m:r>
          <m:t>L</m:t>
        </m:r>
        <m:r>
          <m:t>D</m:t>
        </m:r>
        <m:r>
          <m:t>R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s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9</m:t>
        </m:r>
        <m:r>
          <m:t>x</m:t>
        </m:r>
        <m:r>
          <m:t>E</m:t>
        </m:r>
        <m:r>
          <m:t>V</m:t>
        </m:r>
        <m:r>
          <m:rPr>
            <m:sty m:val="p"/>
          </m:rPr>
          <m:t>/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o</m:t>
        </m:r>
        <m:r>
          <m:t>f</m:t>
        </m:r>
        <m:r>
          <m:t>F</m:t>
        </m:r>
        <m:r>
          <m:t>Y</m:t>
        </m:r>
        <m:r>
          <m:t>26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(</m:t>
        </m:r>
        <m:r>
          <m:t> </m:t>
        </m:r>
      </m:oMath>
      <w:r>
        <w:t xml:space="preserve">1.3B)** — but that multiple is highly sensitive to which end of the</w:t>
      </w:r>
      <w:r>
        <w:t xml:space="preserve"> </w:t>
      </w:r>
      <m:oMath>
        <m:r>
          <m:t>1.1</m:t>
        </m:r>
        <m:r>
          <m:t>B</m:t>
        </m:r>
        <m:r>
          <m:rPr>
            <m:sty m:val="p"/>
          </m:rPr>
          <m:t>–</m:t>
        </m:r>
      </m:oMath>
      <w:r>
        <w:t xml:space="preserve">1.5B range proves right.</w:t>
      </w:r>
    </w:p>
    <w:p>
      <w:pPr>
        <w:pStyle w:val="Compact"/>
        <w:numPr>
          <w:ilvl w:val="0"/>
          <w:numId w:val="1004"/>
        </w:numPr>
      </w:pPr>
      <w:r>
        <w:t xml:space="preserve">The stock has</w:t>
      </w:r>
      <w:r>
        <w:t xml:space="preserve"> </w:t>
      </w:r>
      <w:r>
        <w:rPr>
          <w:b/>
          <w:bCs/>
        </w:rPr>
        <w:t xml:space="preserve">de-rated hard and underperformed the builders</w:t>
      </w:r>
      <w:r>
        <w:t xml:space="preserve">, so sentiment is washed out. That cuts both ways: a genuinely reassuring H2 ramp / stable specialty margins could spark a relief rally, while another guide-down likely gets punished less severely than it would have at higher levels.</w:t>
      </w:r>
    </w:p>
    <w:p>
      <w:r>
        <w:pict>
          <v:rect style="width:0;height:1.5pt" o:hralign="center" o:hrstd="t" o:hr="t"/>
        </w:pict>
      </w:r>
    </w:p>
    <w:bookmarkEnd w:id="14"/>
    <w:bookmarkStart w:id="15" w:name="X0618a8951c43df54423d0b26a5e0afd9eab0000"/>
    <w:p>
      <w:pPr>
        <w:pStyle w:val="Heading2"/>
      </w:pPr>
      <w:r>
        <w:t xml:space="preserve">7. Bottom line — scenarios into the print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Bull case:</w:t>
      </w:r>
      <w:r>
        <w:t xml:space="preserve"> </w:t>
      </w:r>
      <w:r>
        <w:t xml:space="preserve">Q2 sales toward the high end (~</w:t>
      </w:r>
      <m:oMath>
        <m:r>
          <m:t>4.0</m:t>
        </m:r>
        <m:r>
          <m:t>B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rPr>
            <m:sty m:val="p"/>
          </m:rPr>
          <m:t>≥</m:t>
        </m:r>
      </m:oMath>
      <w:r>
        <w:t xml:space="preserve">350M with margin holding ~9%, specialty margins stabilizing, cost actions visibly flowing through, and management</w:t>
      </w:r>
      <w:r>
        <w:t xml:space="preserve"> </w:t>
      </w:r>
      <w:r>
        <w:rPr>
          <w:b/>
          <w:bCs/>
        </w:rPr>
        <w:t xml:space="preserve">reaffirming</w:t>
      </w:r>
      <w:r>
        <w:t xml:space="preserve"> </w:t>
      </w:r>
      <w:r>
        <w:t xml:space="preserve">the FY EBITDA range with a credible back-half ramp. Aggressive sub-$75 buybacks add support.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Bear case:</w:t>
      </w:r>
      <w:r>
        <w:t xml:space="preserve"> </w:t>
      </w:r>
      <w:r>
        <w:t xml:space="preserve">EBITDA at/below $300M, continued specialty-margin and price/cost erosion, softening private-builder demand amid renewed Middle East/rate volatility, and</w:t>
      </w:r>
      <w:r>
        <w:t xml:space="preserve"> </w:t>
      </w:r>
      <w:r>
        <w:rPr>
          <w:b/>
          <w:bCs/>
        </w:rPr>
        <w:t xml:space="preserve">another FY cut</w:t>
      </w:r>
      <w:r>
        <w:t xml:space="preserve"> </w:t>
      </w:r>
      <w:r>
        <w:t xml:space="preserve">(especially trimming the top of the $1.5B EBITDA range). Leverage creeping toward the high-3s adds pressure.</w:t>
      </w:r>
    </w:p>
    <w:p>
      <w:pPr>
        <w:pStyle w:val="FirstParagraph"/>
      </w:pPr>
      <w:r>
        <w:rPr>
          <w:b/>
          <w:bCs/>
        </w:rPr>
        <w:t xml:space="preserve">What I'd watch first on the tape:</w:t>
      </w:r>
      <w:r>
        <w:t xml:space="preserve"> </w:t>
      </w:r>
      <w:r>
        <w:t xml:space="preserve">(1) reported gross margin vs. the 27.5%–29% FY frame and whether specialty stabilized; (2) whether FY EBITDA guidance is reaffirmed, raised, or cut; (3) Q2 buyback dollars and updated leverage; (4) any change to the "H2-weighted / multi-family recovers in 2027" framing. Given how far the stock has fallen,</w:t>
      </w:r>
      <w:r>
        <w:t xml:space="preserve"> </w:t>
      </w:r>
      <w:r>
        <w:rPr>
          <w:b/>
          <w:bCs/>
        </w:rPr>
        <w:t xml:space="preserve">the reaction will hinge more on the forward guide and margin trajectory than on the Q2 headline itself.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Note: The figures above are anchored to BLDR's own Q1 2026 disclosures and explicit Q2/FY guidance rather than to a formal published sell-side consensus, which I couldn't independently verify in the available sources. Treat management's Q2 ranges (</w:t>
      </w:r>
      <m:oMath>
        <m:r>
          <m:t>3.75</m:t>
        </m:r>
        <m:r>
          <m:t>B</m:t>
        </m:r>
        <m:r>
          <m:rPr>
            <m:sty m:val="p"/>
          </m:rPr>
          <m:t>–</m:t>
        </m:r>
      </m:oMath>
      <w:r>
        <w:rPr>
          <w:i/>
          <w:iCs/>
        </w:rPr>
        <w:t xml:space="preserve">4.05B sales;</w:t>
      </w:r>
      <w:r>
        <w:rPr>
          <w:i/>
          <w:iCs/>
        </w:rPr>
        <w:t xml:space="preserve"> </w:t>
      </w:r>
      <m:oMath>
        <m:r>
          <m:t>300</m:t>
        </m:r>
        <m:r>
          <m:t>M</m:t>
        </m:r>
        <m:r>
          <m:rPr>
            <m:sty m:val="p"/>
          </m:rPr>
          <m:t>–</m:t>
        </m:r>
      </m:oMath>
      <w:r>
        <w:rPr>
          <w:i/>
          <w:iCs/>
        </w:rPr>
        <w:t xml:space="preserve">350M adj. EBITDA) as the effective "bar."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2026-07-29T18:35:54Z</dcterms:created>
  <dcterms:modified xsi:type="dcterms:W3CDTF">2026-07-29T18:35:54Z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