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2db571005624d8e0612bd12c23393bc61e7ad71"/>
    <w:p>
      <w:pPr>
        <w:pStyle w:val="Heading1"/>
      </w:pPr>
      <w:r>
        <w:t xml:space="preserve">Builders FirstSource (BLDR)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30, 2026, before market open (call at 9:00 AM ET)</w:t>
      </w:r>
    </w:p>
    <w:p>
      <w:r>
        <w:pict>
          <v:rect style="width:0;height:1.5pt" o:hralign="center" o:hrstd="t" o:hr="t"/>
        </w:pict>
      </w:r>
    </w:p>
    <w:bookmarkStart w:id="9" w:name="X2152d6c01fad900ef2b4b71378e838d192879ca"/>
    <w:p>
      <w:pPr>
        <w:pStyle w:val="Heading2"/>
      </w:pPr>
      <w:r>
        <w:t xml:space="preserve">Setup: A Stock Under Heavy Pressure Heading Into Print</w:t>
      </w:r>
    </w:p>
    <w:p>
      <w:pPr>
        <w:pStyle w:val="FirstParagraph"/>
      </w:pPr>
      <w:r>
        <w:t xml:space="preserve">BLDR shares have been in a steep, multi-month slide. The stock started 2026 near $105, peaked around $129 in mid-January, and has since fallen to roughly $70-74 — a decline of more than 40% from its 52-week high and down further just since the last earnings report. That April 30 report was itself a negative catalyst: shares fell after Q1 results, and the stock has continued grinding lower into this print amid broader housing-market anxiety, a series of sell-side price-target cuts, and cautious positioning ahead of earnings.</w:t>
      </w:r>
    </w:p>
    <w:p>
      <w:pPr>
        <w:pStyle w:val="BodyText"/>
      </w:pPr>
      <w:r>
        <w:t xml:space="preserve">Sentiment indicators are soft. According to a Zacks writeup previewing the quarter, BLDR's Earnings ESP is -8.74% and the company currently carries a Zacks Rank of #4 (Sell), and the model does not conclusively predict an earnings beat this time around. Analyst price targets have been trimmed broadly over the past few months — RBC cut its target from $110 to $107 while keeping Outperform, Baird cut from $125 to $95, KeyCorp cut from $100 to $91 (Overweight), Deutsche Bank cut from $102 to $81 (Hold), and UBS cut from $143 to $122 (Buy). Still, the aggregate sell-side view remains constructive: consensus rating on Builders FirstSource is Buy, with a mean price target of $96.52 implying 31% upside from the current $73.68 share price.</w:t>
      </w:r>
    </w:p>
    <w:p>
      <w:r>
        <w:pict>
          <v:rect style="width:0;height:1.5pt" o:hralign="center" o:hrstd="t" o:hr="t"/>
        </w:pict>
      </w:r>
    </w:p>
    <w:bookmarkEnd w:id="9"/>
    <w:bookmarkStart w:id="10" w:name="X70ecae0978484dafe964d44c2c30d65910ff60b"/>
    <w:p>
      <w:pPr>
        <w:pStyle w:val="Heading2"/>
      </w:pPr>
      <w:r>
        <w:t xml:space="preserve">What Happened Last Quarter (Q1 2026) — The Bar for This Print</w:t>
      </w:r>
    </w:p>
    <w:p>
      <w:pPr>
        <w:pStyle w:val="FirstParagraph"/>
      </w:pPr>
      <w:r>
        <w:t xml:space="preserve">Q1 was rough and led to a guidance cut. Net sales fell 10.1% to $3.3 billion, gross margin compressed 220bps to 28.3%, and adjusted EBITDA dropped 42% to $213.8 million (margin of 6.5%, down 360bps). Adjusted EPS collapsed 82% to $0.27, missing consensus. Management pointed to weaker-than-expected single-family starts, a 10% long-term decline in "value per start" (smaller, less-complex homes), and — critically — unexpected margin pressure in</w:t>
      </w:r>
      <w:r>
        <w:t xml:space="preserve"> </w:t>
      </w:r>
      <w:r>
        <w:rPr>
          <w:b/>
          <w:bCs/>
        </w:rPr>
        <w:t xml:space="preserve">specialty building products</w:t>
      </w:r>
      <w:r>
        <w:t xml:space="preserve"> </w:t>
      </w:r>
      <w:r>
        <w:t xml:space="preserve">(siding, roofing, gypsum, cement, etc.), which the CFO called the single biggest driver of the miss, compounded by a mix shift toward lower-margin lumber/sheet goods as the company leaned into bundling to win share.</w:t>
      </w:r>
    </w:p>
    <w:p>
      <w:pPr>
        <w:pStyle w:val="BodyText"/>
      </w:pPr>
      <w:r>
        <w:t xml:space="preserve">In response, management cut full-year 2026 guidance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 sales:</w:t>
      </w:r>
      <w:r>
        <w:t xml:space="preserve"> </w:t>
      </w:r>
      <m:oMath>
        <m:r>
          <m:t>14.6</m:t>
        </m:r>
        <m:r>
          <m:t>B</m:t>
        </m:r>
        <m:r>
          <m:rPr>
            <m:sty m:val="p"/>
          </m:rPr>
          <m:t>–</m:t>
        </m:r>
      </m:oMath>
      <w:r>
        <w:t xml:space="preserve">15.6B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27.5%–29.0%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EBITDA:</w:t>
      </w:r>
      <w:r>
        <w:t xml:space="preserve"> </w:t>
      </w:r>
      <m:oMath>
        <m:r>
          <m:t>1.1</m:t>
        </m:r>
        <m:r>
          <m:t>B</m:t>
        </m:r>
        <m:r>
          <m:rPr>
            <m:sty m:val="p"/>
          </m:rPr>
          <m:t>–</m:t>
        </m:r>
      </m:oMath>
      <w:r>
        <w:t xml:space="preserve">1.5B (margin 7.5%–9.6%)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 cash flow:</w:t>
      </w:r>
      <w:r>
        <w:t xml:space="preserve"> </w:t>
      </w:r>
      <w:r>
        <w:t xml:space="preserve">~</w:t>
      </w:r>
      <m:oMath>
        <m:r>
          <m:t>400</m:t>
        </m:r>
        <m:r>
          <m:t>M</m:t>
        </m:r>
        <m:r>
          <m:rPr>
            <m:sty m:val="p"/>
          </m:rPr>
          <m:t>–</m:t>
        </m:r>
      </m:oMath>
      <w:r>
        <w:t xml:space="preserve">500M</w:t>
      </w:r>
    </w:p>
    <w:p>
      <w:pPr>
        <w:pStyle w:val="FirstParagraph"/>
      </w:pPr>
      <w:r>
        <w:t xml:space="preserve">For Q2 specifically, management guided</w:t>
      </w:r>
      <w:r>
        <w:t xml:space="preserve"> </w:t>
      </w:r>
      <w:r>
        <w:rPr>
          <w:b/>
          <w:bCs/>
        </w:rPr>
        <w:t xml:space="preserve">net sales of</w:t>
      </w:r>
      <w:r>
        <w:rPr>
          <w:b/>
          <w:bCs/>
        </w:rPr>
        <w:t xml:space="preserve"> </w:t>
      </w:r>
      <m:oMath>
        <m:r>
          <m:t>3.75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4.05B and adjusted EBITDA of</w:t>
      </w:r>
      <w:r>
        <w:rPr>
          <w:b/>
          <w:bCs/>
        </w:rPr>
        <w:t xml:space="preserve"> </w:t>
      </w:r>
      <m:oMath>
        <m:r>
          <m:t>300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350M</w:t>
      </w:r>
      <w:r>
        <w:t xml:space="preserve">, implying a meaningful sequential improvement from Q1's $214M EBITDA — largely on normal seasonality, execution of a $100M cost-reduction program, and $50–70M in targeted 2026 productivity savings.</w:t>
      </w:r>
    </w:p>
    <w:p>
      <w:r>
        <w:pict>
          <v:rect style="width:0;height:1.5pt" o:hralign="center" o:hrstd="t" o:hr="t"/>
        </w:pict>
      </w:r>
    </w:p>
    <w:bookmarkEnd w:id="10"/>
    <w:bookmarkStart w:id="11" w:name="consensus-expectations-for-q2-2026"/>
    <w:p>
      <w:pPr>
        <w:pStyle w:val="Heading2"/>
      </w:pPr>
      <w:r>
        <w:t xml:space="preserve">Consensus Expectations for Q2 2026</w:t>
      </w:r>
    </w:p>
    <w:p>
      <w:pPr>
        <w:pStyle w:val="FirstParagraph"/>
      </w:pPr>
      <w:r>
        <w:t xml:space="preserve">Wall Street has calibrated close to management's guidance range but is still bracing for a steep year-over-year decline: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consensus sits around</w:t>
      </w:r>
      <w:r>
        <w:t xml:space="preserve"> </w:t>
      </w:r>
      <m:oMath>
        <m:r>
          <m:t>1.27</m:t>
        </m:r>
        <m:r>
          <m:rPr>
            <m:sty m:val="p"/>
          </m:rPr>
          <m:t>–</m:t>
        </m:r>
      </m:oMath>
      <w:r>
        <w:rPr>
          <w:b/>
          <w:bCs/>
        </w:rPr>
        <w:t xml:space="preserve">1.32</w:t>
      </w:r>
      <w:r>
        <w:t xml:space="preserve"> </w:t>
      </w:r>
      <w:r>
        <w:t xml:space="preserve">(vs. $2.38 a year ago, a ~45-47% decline)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around</w:t>
      </w:r>
      <w:r>
        <w:t xml:space="preserve"> </w:t>
      </w:r>
      <w:r>
        <w:rPr>
          <w:b/>
          <w:bCs/>
        </w:rPr>
        <w:t xml:space="preserve">$3.92 billion</w:t>
      </w:r>
      <w:r>
        <w:t xml:space="preserve"> </w:t>
      </w:r>
      <w:r>
        <w:t xml:space="preserve">(down roughly 7-8% year-over-year)</w:t>
      </w:r>
    </w:p>
    <w:p>
      <w:pPr>
        <w:pStyle w:val="FirstParagraph"/>
      </w:pPr>
      <w:r>
        <w:t xml:space="preserve">Notably, the Zacks consensus EPS estimate has drifted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over the past 30 days (from $1.32 to $1.29), and the "Most Accurate Estimate" sits below the broader consensus — a signal analysts have grown incrementally more cautious into the print. This comes despite Q1's pattern where BLDR actually beat on revenue (+4.5% vs. consensus) but missed badly on EPS (-30.8%) — underscoring that the real swing factor is</w:t>
      </w:r>
      <w:r>
        <w:t xml:space="preserve"> </w:t>
      </w:r>
      <w:r>
        <w:rPr>
          <w:b/>
          <w:bCs/>
        </w:rPr>
        <w:t xml:space="preserve">margin</w:t>
      </w:r>
      <w:r>
        <w:t xml:space="preserve">, not top-line.</w:t>
      </w:r>
    </w:p>
    <w:p>
      <w:r>
        <w:pict>
          <v:rect style="width:0;height:1.5pt" o:hralign="center" o:hrstd="t" o:hr="t"/>
        </w:pict>
      </w:r>
    </w:p>
    <w:bookmarkEnd w:id="11"/>
    <w:bookmarkStart w:id="12" w:name="Xc2b8f0b116dce2d7d5a0fd02de3dc438528e0f8"/>
    <w:p>
      <w:pPr>
        <w:pStyle w:val="Heading2"/>
      </w:pPr>
      <w:r>
        <w:t xml:space="preserve">Key Debates Investors Should Watch on the Call</w:t>
      </w:r>
    </w:p>
    <w:p>
      <w:pPr>
        <w:pStyle w:val="FirstParagraph"/>
      </w:pPr>
      <w:r>
        <w:rPr>
          <w:b/>
          <w:bCs/>
        </w:rPr>
        <w:t xml:space="preserve">1. Gross margin trajectory — the central question.</w:t>
      </w:r>
      <w:r>
        <w:t xml:space="preserve"> </w:t>
      </w:r>
      <w:r>
        <w:t xml:space="preserve">Management guided full-year gross margin to 27.5%–29%, with Q1's 28.3% actually landing at the</w:t>
      </w:r>
      <w:r>
        <w:t xml:space="preserve"> </w:t>
      </w:r>
      <w:r>
        <w:rPr>
          <w:i/>
          <w:iCs/>
        </w:rPr>
        <w:t xml:space="preserve">midpoint</w:t>
      </w:r>
      <w:r>
        <w:t xml:space="preserve"> </w:t>
      </w:r>
      <w:r>
        <w:t xml:space="preserve">rather than the "low watermark" originally flagged. The drivers to track: whether the specialty-products margin pressure has stabilized (management said on the Q1 call it was "surprised" by how quickly this category tightened), whether fuel/input cost pass-through timing lags are resolving, and whether the lumber/value-add sales mix continues to weigh on blended margins as BLDR leans into bundling for share gains.</w:t>
      </w:r>
    </w:p>
    <w:p>
      <w:pPr>
        <w:pStyle w:val="BodyText"/>
      </w:pPr>
      <w:r>
        <w:rPr>
          <w:b/>
          <w:bCs/>
        </w:rPr>
        <w:t xml:space="preserve">2. Can guidance hold, or is this the second consecutive cut?</w:t>
      </w:r>
      <w:r>
        <w:t xml:space="preserve"> </w:t>
      </w:r>
      <w:r>
        <w:t xml:space="preserve">BLDR already trimmed 2026 guidance once (in April) citing geopolitical shocks, rising rates, and softer consumer confidence. Investors will be watching closely whether management reaffirms the</w:t>
      </w:r>
      <w:r>
        <w:t xml:space="preserve"> </w:t>
      </w:r>
      <m:oMath>
        <m:r>
          <m:t>14.6</m:t>
        </m:r>
        <m:r>
          <m:t>B</m:t>
        </m:r>
        <m:r>
          <m:rPr>
            <m:sty m:val="p"/>
          </m:rPr>
          <m:t>−</m:t>
        </m:r>
      </m:oMath>
      <w:r>
        <w:t xml:space="preserve">15.6B sales /</w:t>
      </w:r>
      <w:r>
        <w:t xml:space="preserve"> </w:t>
      </w:r>
      <m:oMath>
        <m:r>
          <m:t>1.1</m:t>
        </m:r>
        <m:r>
          <m:t>B</m:t>
        </m:r>
        <m:r>
          <m:rPr>
            <m:sty m:val="p"/>
          </m:rPr>
          <m:t>−</m:t>
        </m:r>
      </m:oMath>
      <w:r>
        <w:t xml:space="preserve">1.5B EBITDA range or cuts again — a second straight guidance reduction would likely be read very negatively given the stock's already-depressed valuation.</w:t>
      </w:r>
    </w:p>
    <w:p>
      <w:pPr>
        <w:pStyle w:val="BodyText"/>
      </w:pPr>
      <w:r>
        <w:rPr>
          <w:b/>
          <w:bCs/>
        </w:rPr>
        <w:t xml:space="preserve">3. Second-half acceleration assumption.</w:t>
      </w:r>
      <w:r>
        <w:t xml:space="preserve"> </w:t>
      </w:r>
      <w:r>
        <w:t xml:space="preserve">The current guide bakes in a meaningfully stronger H2, both from easier comps (starts declines from late 2025 rolling off) and from cost-action leverage. Q1 commentary implied ~200bps of margin improvement in H2 EBITDA margin versus H1 at the midpoint. Management will need to defend the credibility of that ramp, especially with commodity/fuel cost inflation still a live risk (management quantified a roughly $100M gross headwind from cost inflation not fully recoverable via pass-through).</w:t>
      </w:r>
    </w:p>
    <w:p>
      <w:pPr>
        <w:pStyle w:val="BodyText"/>
      </w:pPr>
      <w:r>
        <w:rPr>
          <w:b/>
          <w:bCs/>
        </w:rPr>
        <w:t xml:space="preserve">4. Working capital and free cash flow.</w:t>
      </w:r>
      <w:r>
        <w:t xml:space="preserve"> </w:t>
      </w:r>
      <w:r>
        <w:t xml:space="preserve">Management flagged a ~$180 million negative year-over-year swing in working capital (versus a prior $300M estimate) as the business builds inventory/receivables into a stronger back half — a key input to the $400-500M FY free cash flow guide, down sharply from prior-year levels.</w:t>
      </w:r>
    </w:p>
    <w:p>
      <w:pPr>
        <w:pStyle w:val="BodyText"/>
      </w:pPr>
      <w:r>
        <w:rPr>
          <w:b/>
          <w:bCs/>
        </w:rPr>
        <w:t xml:space="preserve">5. Capital allocation / leverage.</w:t>
      </w:r>
      <w:r>
        <w:t xml:space="preserve"> </w:t>
      </w:r>
      <w:r>
        <w:t xml:space="preserve">Net debt/EBITDA stood at 3.2x at Q1-end, above the long-term comfort zone management has described (1x-2x), yet the company still repurchased $303 million of stock in Q1 and authorized a new $500 million buyback (including the remaining balance from the prior authorization). Since inception of the buyback program in 2021, BLDR has repurchased nearly 50% of shares outstanding. Watch for commentary on whether elevated leverage during a housing downturn tempers buyback pace, and any read on M&amp;A appetite (41 acquisitions since the 2021 BMC merger, most recently Premium Building Components in January).</w:t>
      </w:r>
    </w:p>
    <w:p>
      <w:pPr>
        <w:pStyle w:val="BodyText"/>
      </w:pPr>
      <w:r>
        <w:rPr>
          <w:b/>
          <w:bCs/>
        </w:rPr>
        <w:t xml:space="preserve">6. Multifamily and end-market color.</w:t>
      </w:r>
      <w:r>
        <w:t xml:space="preserve"> </w:t>
      </w:r>
      <w:r>
        <w:t xml:space="preserve">Management does not expect a meaningful multifamily recovery until 2027, given the current project pipeline and rate-driven deferrals. Commentary on private builder demand (a large, less-visible share of the market) versus public builder trends will matter, since private builders reportedly turned more cautious following the escalation of Middle East geopolitical tensions cited last quarter.</w:t>
      </w:r>
    </w:p>
    <w:p>
      <w:r>
        <w:pict>
          <v:rect style="width:0;height:1.5pt" o:hralign="center" o:hrstd="t" o:hr="t"/>
        </w:pict>
      </w:r>
    </w:p>
    <w:bookmarkEnd w:id="12"/>
    <w:bookmarkStart w:id="13" w:name="read-through-from-peers-already-reported"/>
    <w:p>
      <w:pPr>
        <w:pStyle w:val="Heading2"/>
      </w:pPr>
      <w:r>
        <w:t xml:space="preserve">Read-Through From Peers Already Reported</w:t>
      </w:r>
    </w:p>
    <w:p>
      <w:pPr>
        <w:pStyle w:val="FirstParagraph"/>
      </w:pPr>
      <w:r>
        <w:t xml:space="preserve">The broader housing/building-products earnings season has been mixed, offering some cross-currents for BLDR: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PulteGroup (PHM):</w:t>
      </w:r>
      <w:r>
        <w:t xml:space="preserve"> </w:t>
      </w:r>
      <w:r>
        <w:t xml:space="preserve">reported Q2 earnings per share of $2.48, beating analyst expectations of $2.36, with housing gross margins of 25% exceeding the Street forecast of 24.3%. Orders were solid, rising 6% to 7,536 units versus Street expectations of 7,446, with early signs of stabilization in select geographies despite ongoing affordability strain.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D.R. Horton (DHI):</w:t>
      </w:r>
      <w:r>
        <w:t xml:space="preserve"> </w:t>
      </w:r>
      <w:r>
        <w:t xml:space="preserve">reported FQ3 EPS of $3.20, beating consensus estimates of $2.98, driven by slightly better home deliveries and modestly better housing gross margins. However, light orders prompted the company to trim full-year revenue guidance to</w:t>
      </w:r>
      <w:r>
        <w:t xml:space="preserve"> </w:t>
      </w:r>
      <m:oMath>
        <m:r>
          <m:t>32.5</m:t>
        </m:r>
        <m:r>
          <m:rPr>
            <m:sty m:val="p"/>
          </m:rPr>
          <m:t>–</m:t>
        </m:r>
      </m:oMath>
      <w:r>
        <w:t xml:space="preserve">33B from the prior</w:t>
      </w:r>
      <w:r>
        <w:t xml:space="preserve"> </w:t>
      </w:r>
      <m:oMath>
        <m:r>
          <m:t>33.5</m:t>
        </m:r>
        <m:r>
          <m:rPr>
            <m:sty m:val="p"/>
          </m:rPr>
          <m:t>–</m:t>
        </m:r>
      </m:oMath>
      <w:r>
        <w:t xml:space="preserve">34.5B — a cautionary sign on demand momentum.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Masco (MAS)</w:t>
      </w:r>
      <w:r>
        <w:t xml:space="preserve"> </w:t>
      </w:r>
      <w:r>
        <w:t xml:space="preserve">(building products): beat EPS estimates but with sales slightly light and much of the beat attributable to tariff refunds rather than underlying demand strength.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Pool Corp (POOL)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Vulcan Materials (VMC)</w:t>
      </w:r>
      <w:r>
        <w:t xml:space="preserve">: both posted modest beats and maintained/reiterated guidance, suggesting pockets of resilience in construction-adjacent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Lennox International</w:t>
      </w:r>
      <w:r>
        <w:t xml:space="preserve"> </w:t>
      </w:r>
      <w:r>
        <w:t xml:space="preserve">(HVAC): a stark negative data point — shares plunged after the company slashed its outlook, with management indicating a demand recovery may not materialize until 2027.</w:t>
      </w:r>
    </w:p>
    <w:p>
      <w:pPr>
        <w:pStyle w:val="FirstParagraph"/>
      </w:pPr>
      <w:r>
        <w:t xml:space="preserve">On the macro backdrop, June housing-starts data showed single-family starts essentially flat month-over-month but still down roughly 3% year-over-year, with elevated mortgage rates and economic uncertainty continuing to weigh on single-family construction even as multifamily posted a volatile, sharp rebound. This is broadly consistent with BLDR's own commentary that single-family — its largest and most profitable channel — remains the primary drag.</w:t>
      </w:r>
    </w:p>
    <w:p>
      <w:r>
        <w:pict>
          <v:rect style="width:0;height:1.5pt" o:hralign="center" o:hrstd="t" o:hr="t"/>
        </w:pict>
      </w:r>
    </w:p>
    <w:bookmarkEnd w:id="13"/>
    <w:bookmarkStart w:id="14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This is a "show-me" quarter for BLDR. The setup is low-bar in some respects (consensus already reflects a ~45% EPS decline and sits within management's own guided range), but sentiment is fragile after an April miss, a guidance cut, elevated financial leverage (3.2x net debt/EBITDA), and a stock that has round-tripped much of its post-2023 gains. The key swing factors are (1) whether gross margin — pressured last quarter by specialty products, competitive dynamics, and cost pass-through timing — shows signs of stabilizing as guided, and (2) whether management can credibly reaffirm the back-half-loaded full-year outlook rather than cut for a second straight quarter. Peer results (PHM, DHI, POOL, VMC) suggest demand hasn't collapsed further, but margin and guidance durability — not the top line — will likely determine the stock's reaction.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2026-07-29T18:36:31Z</dcterms:created>
  <dcterms:modified xsi:type="dcterms:W3CDTF">2026-07-29T18:36:31Z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