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bldr-earnings-predictions--2026-07-30"/>
    <w:p>
      <w:pPr>
        <w:pStyle w:val="Heading1"/>
      </w:pPr>
      <w:r>
        <w:t xml:space="preserve">BLDR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BLDR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adjusted EBITDA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~$315M vs. cons $325M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BLDR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net sales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~$3.90B vs. cons $3.92B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BLDR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adjusted EPS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~$1.21 vs. cons $1.29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BLDR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EBITDA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~$1.18B vs. cons $1.217B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BLDR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net sales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~$14.70B vs. cons $14.817B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BLDR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free cash flow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~$400M vs. cons $480M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BLDR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-6.0%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BLDR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-8.0% (FOLLOW-THROUGH)</w:t>
            </w:r>
          </w:p>
        </w:tc>
        <w:tc>
          <w:tcPr/>
          <w:p>
            <w:pPr>
              <w:pStyle w:val="Compact"/>
            </w:pPr>
            <w:r>
              <w:t xml:space="preserve">FY2026 adjusted EBITDA guidance of ~$1.18B vs.</w:t>
            </w:r>
            <w:r>
              <w:t xml:space="preserve"> </w:t>
            </w:r>
            <m:oMath>
              <m:r>
                <m:t>1.217</m:t>
              </m:r>
              <m:r>
                <m:t>B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e</m:t>
              </m:r>
              <m:r>
                <m:t>n</m:t>
              </m:r>
              <m:r>
                <m:t>s</m:t>
              </m:r>
              <m:r>
                <m:t>u</m:t>
              </m:r>
              <m:r>
                <m:t>s</m:t>
              </m:r>
              <m:r>
                <m:t>a</m:t>
              </m:r>
              <m:r>
                <m:t>n</m:t>
              </m:r>
              <m:r>
                <m:t>d</m:t>
              </m:r>
              <m:r>
                <m:t>f</m:t>
              </m:r>
              <m:r>
                <m:t>r</m:t>
              </m:r>
              <m:r>
                <m:t>e</m:t>
              </m:r>
              <m:r>
                <m:t>e</m:t>
              </m:r>
              <m:r>
                <m:rPr>
                  <m:sty m:val="p"/>
                </m:rPr>
                <m:t>−</m:t>
              </m:r>
              <m:r>
                <m:t>c</m:t>
              </m:r>
              <m:r>
                <m:t>a</m:t>
              </m:r>
              <m:r>
                <m:t>s</m:t>
              </m:r>
              <m:r>
                <m:t>h</m:t>
              </m:r>
              <m:r>
                <m:rPr>
                  <m:sty m:val="p"/>
                </m:rPr>
                <m:t>−</m:t>
              </m:r>
              <m:r>
                <m:t>f</m:t>
              </m:r>
              <m:r>
                <m:t>l</m:t>
              </m:r>
              <m:r>
                <m:t>o</m:t>
              </m:r>
              <m:r>
                <m:t>w</m:t>
              </m:r>
              <m:r>
                <m:t>g</m:t>
              </m:r>
              <m:r>
                <m:t>u</m:t>
              </m:r>
              <m:r>
                <m:t>i</m:t>
              </m:r>
              <m:r>
                <m:t>d</m:t>
              </m:r>
              <m:r>
                <m:t>a</m:t>
              </m:r>
              <m:r>
                <m:t>n</m:t>
              </m:r>
              <m:r>
                <m:t>c</m:t>
              </m:r>
              <m:r>
                <m:t>e</m:t>
              </m:r>
              <m:r>
                <m:t>o</m:t>
              </m:r>
              <m:r>
                <m:t>f</m:t>
              </m:r>
              <m:r>
                <m:t> </m:t>
              </m:r>
            </m:oMath>
            <w:r>
              <w:t xml:space="preserve">400M vs. $480M consensus imply lower second-half margins and estimate revisions, extending the day-1 residual decline from ~-6.0% to ~-8.0% cumulatively by day 5.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2026-07-29T18:36:27Z</dcterms:created>
  <dcterms:modified xsi:type="dcterms:W3CDTF">2026-07-29T18:36:27Z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