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65e5ec1115f4eb724c4c0c621296934b1c3c7d"/>
    <w:p>
      <w:pPr>
        <w:pStyle w:val="Heading1"/>
      </w:pPr>
      <w:r>
        <w:t xml:space="preserve">Builders FirstSource (BLDR) — 2026 Q2 Earnings Preview</w:t>
      </w:r>
    </w:p>
    <w:p>
      <w:pPr>
        <w:pStyle w:val="FirstParagraph"/>
      </w:pPr>
      <w:r>
        <w:rPr>
          <w:b/>
          <w:bCs/>
        </w:rPr>
        <w:t xml:space="preserve">Report date:</w:t>
      </w:r>
      <w:r>
        <w:t xml:space="preserve"> </w:t>
      </w:r>
      <w:r>
        <w:t xml:space="preserve">Thursday, July 30, 2026, before market open</w:t>
      </w:r>
      <w:r>
        <w:br/>
      </w:r>
      <w:r>
        <w:rPr>
          <w:b/>
          <w:bCs/>
        </w:rPr>
        <w:t xml:space="preserve">Conference call:</w:t>
      </w:r>
      <w:r>
        <w:t xml:space="preserve"> </w:t>
      </w:r>
      <w:r>
        <w:t xml:space="preserve">9:00 a.m. ET</w:t>
      </w:r>
    </w:p>
    <w:bookmarkStart w:id="9" w:name="executive-view"/>
    <w:p>
      <w:pPr>
        <w:pStyle w:val="Heading2"/>
      </w:pPr>
      <w:r>
        <w:t xml:space="preserve">Executive view</w:t>
      </w:r>
    </w:p>
    <w:p>
      <w:pPr>
        <w:pStyle w:val="FirstParagraph"/>
      </w:pPr>
      <w:r>
        <w:t xml:space="preserve">This report is less about whether Builders FirstSource can clear a relatively modest Q2 earnings bar and more about</w:t>
      </w:r>
      <w:r>
        <w:t xml:space="preserve"> </w:t>
      </w:r>
      <w:r>
        <w:rPr>
          <w:b/>
          <w:bCs/>
        </w:rPr>
        <w:t xml:space="preserve">whether management can preserve its full-year outlook</w:t>
      </w:r>
      <w:r>
        <w:t xml:space="preserve">.</w:t>
      </w:r>
    </w:p>
    <w:p>
      <w:pPr>
        <w:pStyle w:val="BodyText"/>
      </w:pPr>
      <w:r>
        <w:t xml:space="preserve">Expectations have already fallen sharply: BLDR closed July 29 at</w:t>
      </w:r>
      <w:r>
        <w:t xml:space="preserve"> </w:t>
      </w:r>
      <w:r>
        <w:rPr>
          <w:b/>
          <w:bCs/>
        </w:rPr>
        <w:t xml:space="preserve">$69.72</w:t>
      </w:r>
      <w:r>
        <w:t xml:space="preserve">, down roughly</w:t>
      </w:r>
      <w:r>
        <w:t xml:space="preserve"> </w:t>
      </w:r>
      <w:r>
        <w:rPr>
          <w:b/>
          <w:bCs/>
        </w:rPr>
        <w:t xml:space="preserve">33% year to date</w:t>
      </w:r>
      <w:r>
        <w:t xml:space="preserve"> </w:t>
      </w:r>
      <w:r>
        <w:t xml:space="preserve">and about</w:t>
      </w:r>
      <w:r>
        <w:t xml:space="preserve"> </w:t>
      </w:r>
      <w:r>
        <w:rPr>
          <w:b/>
          <w:bCs/>
        </w:rPr>
        <w:t xml:space="preserve">46% from its January high</w:t>
      </w:r>
      <w:r>
        <w:t xml:space="preserve">. The market appears prepared for weak housing demand and substantial year-over-year earnings contraction. What may not be fully discounted is another reduction to the second-half margin or cash-flow outlook.</w:t>
      </w:r>
    </w:p>
    <w:p>
      <w:pPr>
        <w:pStyle w:val="BodyText"/>
      </w:pPr>
      <w:r>
        <w:t xml:space="preserve">The central questions are:</w:t>
      </w:r>
    </w:p>
    <w:p>
      <w:pPr>
        <w:pStyle w:val="Compact"/>
        <w:numPr>
          <w:ilvl w:val="0"/>
          <w:numId w:val="1001"/>
        </w:numPr>
      </w:pPr>
      <w:r>
        <w:t xml:space="preserve">Did adjusted EBITDA land within the</w:t>
      </w:r>
      <w:r>
        <w:t xml:space="preserve"> </w:t>
      </w:r>
      <m:oMath>
        <m:r>
          <m:t>300</m:t>
        </m:r>
        <m:r>
          <m:t>m</m:t>
        </m:r>
        <m:r>
          <m:t>i</m:t>
        </m:r>
        <m:r>
          <m:t>l</m:t>
        </m:r>
        <m:r>
          <m:t>l</m:t>
        </m:r>
        <m:r>
          <m:t>i</m:t>
        </m:r>
        <m:r>
          <m:t>o</m:t>
        </m:r>
        <m:r>
          <m:t>n</m:t>
        </m:r>
        <m:r>
          <m:rPr>
            <m:sty m:val="p"/>
          </m:rPr>
          <m:t>–</m:t>
        </m:r>
      </m:oMath>
      <w:r>
        <w:rPr>
          <w:b/>
          <w:bCs/>
        </w:rPr>
        <w:t xml:space="preserve">350 million</w:t>
      </w:r>
      <w:r>
        <w:t xml:space="preserve"> </w:t>
      </w:r>
      <w:r>
        <w:t xml:space="preserve">guidance range?</w:t>
      </w:r>
    </w:p>
    <w:p>
      <w:pPr>
        <w:pStyle w:val="Compact"/>
        <w:numPr>
          <w:ilvl w:val="0"/>
          <w:numId w:val="1001"/>
        </w:numPr>
      </w:pPr>
      <w:r>
        <w:t xml:space="preserve">Did gross margin improve from Q1's depressed 28.3%?</w:t>
      </w:r>
    </w:p>
    <w:p>
      <w:pPr>
        <w:pStyle w:val="Compact"/>
        <w:numPr>
          <w:ilvl w:val="0"/>
          <w:numId w:val="1001"/>
        </w:numPr>
      </w:pPr>
      <w:r>
        <w:t xml:space="preserve">Is the full-year adjusted EBITDA range of</w:t>
      </w:r>
      <w:r>
        <w:t xml:space="preserve"> </w:t>
      </w:r>
      <m:oMath>
        <m:r>
          <m:t>1.1</m:t>
        </m:r>
        <m:r>
          <m:t>b</m:t>
        </m:r>
        <m:r>
          <m:t>i</m:t>
        </m:r>
        <m:r>
          <m:t>l</m:t>
        </m:r>
        <m:r>
          <m:t>l</m:t>
        </m:r>
        <m:r>
          <m:t>i</m:t>
        </m:r>
        <m:r>
          <m:t>o</m:t>
        </m:r>
        <m:r>
          <m:t>n</m:t>
        </m:r>
        <m:r>
          <m:rPr>
            <m:sty m:val="p"/>
          </m:rPr>
          <m:t>–</m:t>
        </m:r>
      </m:oMath>
      <w:r>
        <w:rPr>
          <w:b/>
          <w:bCs/>
        </w:rPr>
        <w:t xml:space="preserve">1.5 billion</w:t>
      </w:r>
      <w:r>
        <w:t xml:space="preserve"> </w:t>
      </w:r>
      <w:r>
        <w:t xml:space="preserve">still credible?</w:t>
      </w:r>
    </w:p>
    <w:p>
      <w:pPr>
        <w:pStyle w:val="Compact"/>
        <w:numPr>
          <w:ilvl w:val="0"/>
          <w:numId w:val="1001"/>
        </w:numPr>
      </w:pPr>
      <w:r>
        <w:t xml:space="preserve">Can cost reductions offset persistent housing weakness, competitive pricing and fuel/input inflation?</w:t>
      </w:r>
    </w:p>
    <w:p>
      <w:pPr>
        <w:pStyle w:val="Compact"/>
        <w:numPr>
          <w:ilvl w:val="0"/>
          <w:numId w:val="1001"/>
        </w:numPr>
      </w:pPr>
      <w:r>
        <w:t xml:space="preserve">Will management remain aggressive with repurchases despite leverage above its long-term target?</w:t>
      </w:r>
    </w:p>
    <w:bookmarkEnd w:id="9"/>
    <w:bookmarkStart w:id="12" w:name="the-numbers-to-know"/>
    <w:p>
      <w:pPr>
        <w:pStyle w:val="Heading2"/>
      </w:pPr>
      <w:r>
        <w:t xml:space="preserve">The numbers to know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expectation/guidance</w:t>
            </w:r>
          </w:p>
        </w:tc>
        <w:tc>
          <w:tcPr/>
          <w:p>
            <w:pPr>
              <w:pStyle w:val="Compact"/>
              <w:jc w:val="right"/>
            </w:pPr>
            <w:r>
              <w:t xml:space="preserve">Q2 2025 actual</w:t>
            </w:r>
          </w:p>
        </w:tc>
        <w:tc>
          <w:tcPr/>
          <w:p>
            <w:pPr>
              <w:pStyle w:val="Compact"/>
              <w:jc w:val="right"/>
            </w:pPr>
            <w:r>
              <w:t xml:space="preserve">Approx. YoY change</w:t>
            </w:r>
          </w:p>
        </w:tc>
      </w:tr>
      <w:tr>
        <w:tc>
          <w:tcPr/>
          <w:p>
            <w:pPr>
              <w:pStyle w:val="Compact"/>
            </w:pPr>
            <w:r>
              <w:t xml:space="preserve">Revenue</w:t>
            </w:r>
          </w:p>
        </w:tc>
        <w:tc>
          <w:tcPr/>
          <w:p>
            <w:pPr>
              <w:pStyle w:val="Compact"/>
              <w:jc w:val="right"/>
            </w:pPr>
            <w:r>
              <w:rPr>
                <w:b/>
                <w:bCs/>
              </w:rPr>
              <w:t xml:space="preserve">$3.92B consensus</w:t>
            </w:r>
          </w:p>
        </w:tc>
        <w:tc>
          <w:tcPr/>
          <w:p>
            <w:pPr>
              <w:pStyle w:val="Compact"/>
              <w:jc w:val="right"/>
            </w:pPr>
            <w:r>
              <w:t xml:space="preserve">$4.23B</w:t>
            </w:r>
          </w:p>
        </w:tc>
        <w:tc>
          <w:tcPr/>
          <w:p>
            <w:pPr>
              <w:pStyle w:val="Compact"/>
              <w:jc w:val="right"/>
            </w:pPr>
            <w:r>
              <w:rPr>
                <w:b/>
                <w:bCs/>
              </w:rPr>
              <w:t xml:space="preserve">-7%</w:t>
            </w:r>
          </w:p>
        </w:tc>
      </w:tr>
      <w:tr>
        <w:tc>
          <w:tcPr/>
          <w:p>
            <w:pPr>
              <w:pStyle w:val="Compact"/>
            </w:pPr>
            <w:r>
              <w:t xml:space="preserve">Adjusted EPS</w:t>
            </w:r>
          </w:p>
        </w:tc>
        <w:tc>
          <w:tcPr/>
          <w:p>
            <w:pPr>
              <w:pStyle w:val="Compact"/>
              <w:jc w:val="right"/>
            </w:pPr>
            <w:r>
              <w:rPr>
                <w:b/>
                <w:bCs/>
              </w:rPr>
              <w:t xml:space="preserve">$1.29 consensus</w:t>
            </w:r>
          </w:p>
        </w:tc>
        <w:tc>
          <w:tcPr/>
          <w:p>
            <w:pPr>
              <w:pStyle w:val="Compact"/>
              <w:jc w:val="right"/>
            </w:pPr>
            <w:r>
              <w:t xml:space="preserve">$2.38</w:t>
            </w:r>
          </w:p>
        </w:tc>
        <w:tc>
          <w:tcPr/>
          <w:p>
            <w:pPr>
              <w:pStyle w:val="Compact"/>
              <w:jc w:val="right"/>
            </w:pPr>
            <w:r>
              <w:rPr>
                <w:b/>
                <w:bCs/>
              </w:rPr>
              <w:t xml:space="preserve">-46%</w:t>
            </w:r>
          </w:p>
        </w:tc>
      </w:tr>
      <w:tr>
        <w:tc>
          <w:tcPr/>
          <w:p>
            <w:pPr>
              <w:pStyle w:val="Compact"/>
            </w:pPr>
            <w:r>
              <w:t xml:space="preserve">Adjusted EBITDA</w:t>
            </w:r>
          </w:p>
        </w:tc>
        <w:tc>
          <w:tcPr/>
          <w:p>
            <w:pPr>
              <w:pStyle w:val="Compact"/>
              <w:jc w:val="right"/>
            </w:pPr>
            <m:oMath>
              <m:r>
                <m:t>300</m:t>
              </m:r>
              <m:r>
                <m:t>M</m:t>
              </m:r>
              <m:r>
                <m:rPr>
                  <m:sty m:val="p"/>
                </m:rPr>
                <m:t>–</m:t>
              </m:r>
            </m:oMath>
            <w:r>
              <w:rPr>
                <w:b/>
                <w:bCs/>
              </w:rPr>
              <w:t xml:space="preserve">350M guidance</w:t>
            </w:r>
          </w:p>
        </w:tc>
        <w:tc>
          <w:tcPr/>
          <w:p>
            <w:pPr>
              <w:pStyle w:val="Compact"/>
              <w:jc w:val="right"/>
            </w:pPr>
            <w:r>
              <w:t xml:space="preserve">$506M</w:t>
            </w:r>
          </w:p>
        </w:tc>
        <w:tc>
          <w:tcPr/>
          <w:p>
            <w:pPr>
              <w:pStyle w:val="Compact"/>
              <w:jc w:val="right"/>
            </w:pPr>
            <w:r>
              <w:rPr>
                <w:b/>
                <w:bCs/>
              </w:rPr>
              <w:t xml:space="preserve">-36% at midpoint</w:t>
            </w:r>
          </w:p>
        </w:tc>
      </w:tr>
      <w:tr>
        <w:tc>
          <w:tcPr/>
          <w:p>
            <w:pPr>
              <w:pStyle w:val="Compact"/>
            </w:pPr>
            <w:r>
              <w:t xml:space="preserve">Adjusted EBITDA margin</w:t>
            </w:r>
          </w:p>
        </w:tc>
        <w:tc>
          <w:tcPr/>
          <w:p>
            <w:pPr>
              <w:pStyle w:val="Compact"/>
              <w:jc w:val="right"/>
            </w:pPr>
            <w:r>
              <w:rPr>
                <w:b/>
                <w:bCs/>
              </w:rPr>
              <w:t xml:space="preserve">~8.3% at midpoint</w:t>
            </w:r>
          </w:p>
        </w:tc>
        <w:tc>
          <w:tcPr/>
          <w:p>
            <w:pPr>
              <w:pStyle w:val="Compact"/>
              <w:jc w:val="right"/>
            </w:pPr>
            <w:r>
              <w:t xml:space="preserve">12.0%</w:t>
            </w:r>
          </w:p>
        </w:tc>
        <w:tc>
          <w:tcPr/>
          <w:p>
            <w:pPr>
              <w:pStyle w:val="Compact"/>
              <w:jc w:val="right"/>
            </w:pPr>
            <w:r>
              <w:rPr>
                <w:b/>
                <w:bCs/>
              </w:rPr>
              <w:t xml:space="preserve">-370 bps</w:t>
            </w:r>
          </w:p>
        </w:tc>
      </w:tr>
    </w:tbl>
    <w:p>
      <w:pPr>
        <w:pStyle w:val="BodyText"/>
      </w:pPr>
      <w:r>
        <w:t xml:space="preserve">The revenue consensus is almost exactly at the midpoint of management's</w:t>
      </w:r>
      <w:r>
        <w:t xml:space="preserve"> </w:t>
      </w:r>
      <m:oMath>
        <m:r>
          <m:t>3.75</m:t>
        </m:r>
        <m:r>
          <m:t>b</m:t>
        </m:r>
        <m:r>
          <m:t>i</m:t>
        </m:r>
        <m:r>
          <m:t>l</m:t>
        </m:r>
        <m:r>
          <m:t>l</m:t>
        </m:r>
        <m:r>
          <m:t>i</m:t>
        </m:r>
        <m:r>
          <m:t>o</m:t>
        </m:r>
        <m:r>
          <m:t>n</m:t>
        </m:r>
        <m:r>
          <m:rPr>
            <m:sty m:val="p"/>
          </m:rPr>
          <m:t>–</m:t>
        </m:r>
      </m:oMath>
      <w:r>
        <w:rPr>
          <w:b/>
          <w:bCs/>
        </w:rPr>
        <w:t xml:space="preserve">4.05 billion</w:t>
      </w:r>
      <w:r>
        <w:t xml:space="preserve"> </w:t>
      </w:r>
      <w:r>
        <w:t xml:space="preserve">guidance range. That makes the EBITDA and margin outcome more important than a small sales beat or miss. Publicly available consensus calls for $1.29 in adjusted EPS and $3.92 billion in revenue. (</w:t>
      </w:r>
      <w:hyperlink r:id="rId10">
        <w:r>
          <w:rPr>
            <w:rStyle w:val="Hyperlink"/>
          </w:rPr>
          <w:t xml:space="preserve">marketbeat.com</w:t>
        </w:r>
      </w:hyperlink>
      <w:r>
        <w:t xml:space="preserve">)</w:t>
      </w:r>
    </w:p>
    <w:p>
      <w:pPr>
        <w:pStyle w:val="BodyText"/>
      </w:pPr>
      <w:r>
        <w:t xml:space="preserve">The comparison is demanding: in Q2 2025, BLDR generated $4.23 billion of sales, $506 million of adjusted EBITDA, a 12.0% adjusted EBITDA margin and $2.38 of adjusted EPS. (</w:t>
      </w:r>
      <w:hyperlink r:id="rId11">
        <w:r>
          <w:rPr>
            <w:rStyle w:val="Hyperlink"/>
          </w:rPr>
          <w:t xml:space="preserve">investors.bldr.com</w:t>
        </w:r>
      </w:hyperlink>
      <w:r>
        <w:t xml:space="preserve">)</w:t>
      </w:r>
    </w:p>
    <w:bookmarkEnd w:id="12"/>
    <w:bookmarkStart w:id="14" w:name="X5062f5730134170afec6e042c7655b0a2cceb31"/>
    <w:p>
      <w:pPr>
        <w:pStyle w:val="Heading2"/>
      </w:pPr>
      <w:r>
        <w:t xml:space="preserve">1. Margin stabilization is the most important datapoint</w:t>
      </w:r>
    </w:p>
    <w:p>
      <w:pPr>
        <w:pStyle w:val="FirstParagraph"/>
      </w:pPr>
      <w:r>
        <w:t xml:space="preserve">Q1 was exceptionally weak: revenue declined 10.1%, gross margin fell 220 basis points to</w:t>
      </w:r>
      <w:r>
        <w:t xml:space="preserve"> </w:t>
      </w:r>
      <w:r>
        <w:rPr>
          <w:b/>
          <w:bCs/>
        </w:rPr>
        <w:t xml:space="preserve">28.3%</w:t>
      </w:r>
      <w:r>
        <w:t xml:space="preserve">, and adjusted EBITDA dropped 42% to</w:t>
      </w:r>
      <w:r>
        <w:t xml:space="preserve"> </w:t>
      </w:r>
      <w:r>
        <w:rPr>
          <w:b/>
          <w:bCs/>
        </w:rPr>
        <w:t xml:space="preserve">$214 million</w:t>
      </w:r>
      <w:r>
        <w:t xml:space="preserve">, producing a 6.5% margin. Management attributed the deterioration to lower starts, gross-margin pressure and operating deleverage. (</w:t>
      </w:r>
      <w:hyperlink r:id="rId13">
        <w:r>
          <w:rPr>
            <w:rStyle w:val="Hyperlink"/>
          </w:rPr>
          <w:t xml:space="preserve">s202.q4cdn.com</w:t>
        </w:r>
      </w:hyperlink>
      <w:r>
        <w:t xml:space="preserve">)</w:t>
      </w:r>
    </w:p>
    <w:p>
      <w:pPr>
        <w:pStyle w:val="BodyText"/>
      </w:pPr>
      <w:r>
        <w:t xml:space="preserve">Management previously characterized Q1 as the likely low point, with seasonal volume, cost actions and productivity savings expected to improve profitability as the year progressed. But it also identified several ongoing headwinds:</w:t>
      </w:r>
    </w:p>
    <w:p>
      <w:pPr>
        <w:pStyle w:val="Compact"/>
        <w:numPr>
          <w:ilvl w:val="0"/>
          <w:numId w:val="1002"/>
        </w:numPr>
      </w:pPr>
      <w:r>
        <w:t xml:space="preserve">Aggressive industry pricing as suppliers compete for reduced construction volume.</w:t>
      </w:r>
    </w:p>
    <w:p>
      <w:pPr>
        <w:pStyle w:val="Compact"/>
        <w:numPr>
          <w:ilvl w:val="0"/>
          <w:numId w:val="1002"/>
        </w:numPr>
      </w:pPr>
      <w:r>
        <w:t xml:space="preserve">Margin pressure in specialty products.</w:t>
      </w:r>
    </w:p>
    <w:p>
      <w:pPr>
        <w:pStyle w:val="Compact"/>
        <w:numPr>
          <w:ilvl w:val="0"/>
          <w:numId w:val="1002"/>
        </w:numPr>
      </w:pPr>
      <w:r>
        <w:t xml:space="preserve">A lower-margin mix from winning bundled lumber business.</w:t>
      </w:r>
    </w:p>
    <w:p>
      <w:pPr>
        <w:pStyle w:val="Compact"/>
        <w:numPr>
          <w:ilvl w:val="0"/>
          <w:numId w:val="1002"/>
        </w:numPr>
      </w:pPr>
      <w:r>
        <w:t xml:space="preserve">Timing delays in passing through higher fuel and input costs.</w:t>
      </w:r>
    </w:p>
    <w:p>
      <w:pPr>
        <w:pStyle w:val="Compact"/>
        <w:numPr>
          <w:ilvl w:val="0"/>
          <w:numId w:val="1002"/>
        </w:numPr>
      </w:pPr>
      <w:r>
        <w:t xml:space="preserve">Underutilized manufacturing and distribution capacity.</w:t>
      </w:r>
    </w:p>
    <w:p>
      <w:pPr>
        <w:pStyle w:val="FirstParagraph"/>
      </w:pPr>
      <w:r>
        <w:t xml:space="preserve">A Q2 EBITDA margin near the</w:t>
      </w:r>
      <w:r>
        <w:t xml:space="preserve"> </w:t>
      </w:r>
      <w:r>
        <w:rPr>
          <w:b/>
          <w:bCs/>
        </w:rPr>
        <w:t xml:space="preserve">8.3% midpoint</w:t>
      </w:r>
      <w:r>
        <w:t xml:space="preserve"> </w:t>
      </w:r>
      <w:r>
        <w:t xml:space="preserve">would show meaningful sequential recovery but would still be far below the 12.0% achieved a year ago. A result closer to 9% would support the stabilization thesis; a margin near or below 8% would raise doubts about the assumed second-half improvement.</w:t>
      </w:r>
    </w:p>
    <w:p>
      <w:pPr>
        <w:pStyle w:val="BodyText"/>
      </w:pPr>
      <w:r>
        <w:rPr>
          <w:b/>
          <w:bCs/>
        </w:rPr>
        <w:t xml:space="preserve">What to watch:</w:t>
      </w:r>
      <w:r>
        <w:t xml:space="preserve"> </w:t>
      </w:r>
      <w:r>
        <w:t xml:space="preserve">gross margin percentage, adjusted SG&amp;A dollars, manufacturing utilization and management's description of specialty-product pricing.</w:t>
      </w:r>
    </w:p>
    <w:bookmarkEnd w:id="14"/>
    <w:bookmarkStart w:id="15" w:name="X15572a66d4393585215a2f7640dfaab1abd87c2"/>
    <w:p>
      <w:pPr>
        <w:pStyle w:val="Heading2"/>
      </w:pPr>
      <w:r>
        <w:t xml:space="preserve">2. The full-year guide carries more risk than the Q2 consensus</w:t>
      </w:r>
    </w:p>
    <w:p>
      <w:pPr>
        <w:pStyle w:val="FirstParagraph"/>
      </w:pPr>
      <w:r>
        <w:t xml:space="preserve">Current 2026 guidance calls for:</w:t>
      </w:r>
    </w:p>
    <w:p>
      <w:pPr>
        <w:pStyle w:val="Compact"/>
        <w:numPr>
          <w:ilvl w:val="0"/>
          <w:numId w:val="1003"/>
        </w:numPr>
      </w:pPr>
      <w:r>
        <w:rPr>
          <w:b/>
          <w:bCs/>
        </w:rPr>
        <w:t xml:space="preserve">Revenue:</w:t>
      </w:r>
      <w:r>
        <w:t xml:space="preserve"> </w:t>
      </w:r>
      <m:oMath>
        <m:r>
          <m:t>14.6</m:t>
        </m:r>
        <m:r>
          <m:t>B</m:t>
        </m:r>
        <m:r>
          <m:rPr>
            <m:sty m:val="p"/>
          </m:rPr>
          <m:t>–</m:t>
        </m:r>
      </m:oMath>
      <w:r>
        <w:t xml:space="preserve">15.6B</w:t>
      </w:r>
    </w:p>
    <w:p>
      <w:pPr>
        <w:pStyle w:val="Compact"/>
        <w:numPr>
          <w:ilvl w:val="0"/>
          <w:numId w:val="1003"/>
        </w:numPr>
      </w:pPr>
      <w:r>
        <w:rPr>
          <w:b/>
          <w:bCs/>
        </w:rPr>
        <w:t xml:space="preserve">Gross margin:</w:t>
      </w:r>
      <w:r>
        <w:t xml:space="preserve"> </w:t>
      </w:r>
      <w:r>
        <w:t xml:space="preserve">27.5%–29.0%</w:t>
      </w:r>
    </w:p>
    <w:p>
      <w:pPr>
        <w:pStyle w:val="Compact"/>
        <w:numPr>
          <w:ilvl w:val="0"/>
          <w:numId w:val="1003"/>
        </w:numPr>
      </w:pPr>
      <w:r>
        <w:rPr>
          <w:b/>
          <w:bCs/>
        </w:rPr>
        <w:t xml:space="preserve">Adjusted EBITDA:</w:t>
      </w:r>
      <w:r>
        <w:t xml:space="preserve"> </w:t>
      </w:r>
      <m:oMath>
        <m:r>
          <m:t>1.1</m:t>
        </m:r>
        <m:r>
          <m:t>B</m:t>
        </m:r>
        <m:r>
          <m:rPr>
            <m:sty m:val="p"/>
          </m:rPr>
          <m:t>–</m:t>
        </m:r>
      </m:oMath>
      <w:r>
        <w:t xml:space="preserve">1.5B</w:t>
      </w:r>
    </w:p>
    <w:p>
      <w:pPr>
        <w:pStyle w:val="Compact"/>
        <w:numPr>
          <w:ilvl w:val="0"/>
          <w:numId w:val="1003"/>
        </w:numPr>
      </w:pPr>
      <w:r>
        <w:rPr>
          <w:b/>
          <w:bCs/>
        </w:rPr>
        <w:t xml:space="preserve">Adjusted EBITDA margin:</w:t>
      </w:r>
      <w:r>
        <w:t xml:space="preserve"> </w:t>
      </w:r>
      <w:r>
        <w:t xml:space="preserve">7.5%–9.6%</w:t>
      </w:r>
    </w:p>
    <w:p>
      <w:pPr>
        <w:pStyle w:val="Compact"/>
        <w:numPr>
          <w:ilvl w:val="0"/>
          <w:numId w:val="1003"/>
        </w:numPr>
      </w:pPr>
      <w:r>
        <w:rPr>
          <w:b/>
          <w:bCs/>
        </w:rPr>
        <w:t xml:space="preserve">Free cash flow:</w:t>
      </w:r>
      <w:r>
        <w:t xml:space="preserve"> </w:t>
      </w:r>
      <m:oMath>
        <m:r>
          <m:t>400</m:t>
        </m:r>
        <m:r>
          <m:t>M</m:t>
        </m:r>
        <m:r>
          <m:rPr>
            <m:sty m:val="p"/>
          </m:rPr>
          <m:t>–</m:t>
        </m:r>
      </m:oMath>
      <w:r>
        <w:t xml:space="preserve">500M</w:t>
      </w:r>
    </w:p>
    <w:p>
      <w:pPr>
        <w:pStyle w:val="Compact"/>
        <w:numPr>
          <w:ilvl w:val="0"/>
          <w:numId w:val="1003"/>
        </w:numPr>
      </w:pPr>
      <w:r>
        <w:rPr>
          <w:b/>
          <w:bCs/>
        </w:rPr>
        <w:t xml:space="preserve">Single-family and multifamily starts:</w:t>
      </w:r>
      <w:r>
        <w:t xml:space="preserve"> </w:t>
      </w:r>
      <w:r>
        <w:t xml:space="preserve">down low single digits</w:t>
      </w:r>
    </w:p>
    <w:p>
      <w:pPr>
        <w:pStyle w:val="Compact"/>
        <w:numPr>
          <w:ilvl w:val="0"/>
          <w:numId w:val="1003"/>
        </w:numPr>
      </w:pPr>
      <w:r>
        <w:rPr>
          <w:b/>
          <w:bCs/>
        </w:rPr>
        <w:t xml:space="preserve">Productivity savings:</w:t>
      </w:r>
      <w:r>
        <w:t xml:space="preserve"> </w:t>
      </w:r>
      <m:oMath>
        <m:r>
          <m:t>50</m:t>
        </m:r>
        <m:r>
          <m:t>M</m:t>
        </m:r>
        <m:r>
          <m:rPr>
            <m:sty m:val="p"/>
          </m:rPr>
          <m:t>–</m:t>
        </m:r>
      </m:oMath>
      <w:r>
        <w:t xml:space="preserve">70M (</w:t>
      </w:r>
      <w:hyperlink r:id="rId13">
        <w:r>
          <w:rPr>
            <w:rStyle w:val="Hyperlink"/>
          </w:rPr>
          <w:t xml:space="preserve">s202.q4cdn.com</w:t>
        </w:r>
      </w:hyperlink>
      <w:r>
        <w:t xml:space="preserve">)</w:t>
      </w:r>
    </w:p>
    <w:p>
      <w:pPr>
        <w:pStyle w:val="FirstParagraph"/>
      </w:pPr>
      <w:r>
        <w:t xml:space="preserve">At the midpoint, after Q1 actual results and Q2 midpoint guidance, BLDR would need approximately</w:t>
      </w:r>
      <w:r>
        <w:t xml:space="preserve"> </w:t>
      </w:r>
      <w:r>
        <w:rPr>
          <w:b/>
          <w:bCs/>
        </w:rPr>
        <w:t xml:space="preserve">$7.9 billion of second-half revenue and $761 million of second-half adjusted EBITDA</w:t>
      </w:r>
      <w:r>
        <w:t xml:space="preserve">. That equates to roughly a</w:t>
      </w:r>
      <w:r>
        <w:t xml:space="preserve"> </w:t>
      </w:r>
      <w:r>
        <w:rPr>
          <w:b/>
          <w:bCs/>
        </w:rPr>
        <w:t xml:space="preserve">9.6% second-half EBITDA margin</w:t>
      </w:r>
      <w:r>
        <w:t xml:space="preserve">, a material step-up from 6.5% in Q1 and approximately 8.3% at the Q2 guidance midpoint.</w:t>
      </w:r>
    </w:p>
    <w:p>
      <w:pPr>
        <w:pStyle w:val="BodyText"/>
      </w:pPr>
      <w:r>
        <w:t xml:space="preserve">The required improvement is supposed to come from:</w:t>
      </w:r>
    </w:p>
    <w:p>
      <w:pPr>
        <w:pStyle w:val="Compact"/>
        <w:numPr>
          <w:ilvl w:val="0"/>
          <w:numId w:val="1004"/>
        </w:numPr>
      </w:pPr>
      <w:r>
        <w:t xml:space="preserve">Better seasonal volume and fixed-cost absorption.</w:t>
      </w:r>
    </w:p>
    <w:p>
      <w:pPr>
        <w:pStyle w:val="Compact"/>
        <w:numPr>
          <w:ilvl w:val="0"/>
          <w:numId w:val="1004"/>
        </w:numPr>
      </w:pPr>
      <w:r>
        <w:t xml:space="preserve">Easier year-over-year starts comparisons.</w:t>
      </w:r>
    </w:p>
    <w:p>
      <w:pPr>
        <w:pStyle w:val="Compact"/>
        <w:numPr>
          <w:ilvl w:val="0"/>
          <w:numId w:val="1004"/>
        </w:numPr>
      </w:pPr>
      <w:r>
        <w:t xml:space="preserve">The realization of cost reductions already implemented.</w:t>
      </w:r>
    </w:p>
    <w:p>
      <w:pPr>
        <w:pStyle w:val="Compact"/>
        <w:numPr>
          <w:ilvl w:val="0"/>
          <w:numId w:val="1004"/>
        </w:numPr>
      </w:pPr>
      <w:r>
        <w:t xml:space="preserve">Productivity and logistics savings.</w:t>
      </w:r>
    </w:p>
    <w:p>
      <w:pPr>
        <w:pStyle w:val="Compact"/>
        <w:numPr>
          <w:ilvl w:val="0"/>
          <w:numId w:val="1004"/>
        </w:numPr>
      </w:pPr>
      <w:r>
        <w:t xml:space="preserve">Continued market-share gains and bundled product sales.</w:t>
      </w:r>
    </w:p>
    <w:p>
      <w:pPr>
        <w:pStyle w:val="FirstParagraph"/>
      </w:pPr>
      <w:r>
        <w:t xml:space="preserve">That bridge is plausible, but increasingly sensitive to volume. Investors should focus on whether management</w:t>
      </w:r>
      <w:r>
        <w:t xml:space="preserve"> </w:t>
      </w:r>
      <w:r>
        <w:rPr>
          <w:b/>
          <w:bCs/>
        </w:rPr>
        <w:t xml:space="preserve">reaffirms the midpoint</w:t>
      </w:r>
      <w:r>
        <w:t xml:space="preserve">, merely maintains the broad range, or lowers one or both ends. Maintaining a very wide</w:t>
      </w:r>
      <w:r>
        <w:t xml:space="preserve"> </w:t>
      </w:r>
      <m:oMath>
        <m:r>
          <m:t>1.1</m:t>
        </m:r>
        <m:r>
          <m:t>b</m:t>
        </m:r>
        <m:r>
          <m:t>i</m:t>
        </m:r>
        <m:r>
          <m:t>l</m:t>
        </m:r>
        <m:r>
          <m:t>l</m:t>
        </m:r>
        <m:r>
          <m:t>i</m:t>
        </m:r>
        <m:r>
          <m:t>o</m:t>
        </m:r>
        <m:r>
          <m:t>n</m:t>
        </m:r>
        <m:r>
          <m:rPr>
            <m:sty m:val="p"/>
          </m:rPr>
          <m:t>–</m:t>
        </m:r>
      </m:oMath>
      <w:r>
        <w:t xml:space="preserve">1.5 billion range without greater confidence around the midpoint would be a relatively weak signal.</w:t>
      </w:r>
    </w:p>
    <w:bookmarkEnd w:id="15"/>
    <w:bookmarkStart w:id="19" w:name="X8a616bb6e1314ccede58ec53b052c6935190157"/>
    <w:p>
      <w:pPr>
        <w:pStyle w:val="Heading2"/>
      </w:pPr>
      <w:r>
        <w:t xml:space="preserve">3. Housing data do not provide a clean second-half tailwind</w:t>
      </w:r>
    </w:p>
    <w:p>
      <w:pPr>
        <w:pStyle w:val="FirstParagraph"/>
      </w:pPr>
      <w:r>
        <w:t xml:space="preserve">Single-family starts weakened during Q2, declining from a revised</w:t>
      </w:r>
      <w:r>
        <w:t xml:space="preserve"> </w:t>
      </w:r>
      <w:r>
        <w:rPr>
          <w:b/>
          <w:bCs/>
        </w:rPr>
        <w:t xml:space="preserve">930,000 annualized rate in April to 882,000 in May and 895,000 in June</w:t>
      </w:r>
      <w:r>
        <w:t xml:space="preserve">. June single-family permits fell to</w:t>
      </w:r>
      <w:r>
        <w:t xml:space="preserve"> </w:t>
      </w:r>
      <w:r>
        <w:rPr>
          <w:b/>
          <w:bCs/>
        </w:rPr>
        <w:t xml:space="preserve">871,000</w:t>
      </w:r>
      <w:r>
        <w:t xml:space="preserve">, indicating limited near-term acceleration in future construction. (</w:t>
      </w:r>
      <w:hyperlink r:id="rId16">
        <w:r>
          <w:rPr>
            <w:rStyle w:val="Hyperlink"/>
          </w:rPr>
          <w:t xml:space="preserve">census.gov</w:t>
        </w:r>
      </w:hyperlink>
      <w:r>
        <w:t xml:space="preserve">)</w:t>
      </w:r>
    </w:p>
    <w:p>
      <w:pPr>
        <w:pStyle w:val="BodyText"/>
      </w:pPr>
      <w:r>
        <w:t xml:space="preserve">New-home sales improved 1.6% sequentially in June to 628,000, but remained 5.6% below the prior year. Supply stood at a high</w:t>
      </w:r>
      <w:r>
        <w:t xml:space="preserve"> </w:t>
      </w:r>
      <w:r>
        <w:rPr>
          <w:b/>
          <w:bCs/>
        </w:rPr>
        <w:t xml:space="preserve">9.3 months</w:t>
      </w:r>
      <w:r>
        <w:t xml:space="preserve">, while the median new-home selling price declined 2.7% year over year. This combination suggests builders may continue relying on incentives, smaller homes and cost reductions rather than rapidly increasing starts. (</w:t>
      </w:r>
      <w:hyperlink r:id="rId17">
        <w:r>
          <w:rPr>
            <w:rStyle w:val="Hyperlink"/>
          </w:rPr>
          <w:t xml:space="preserve">census.gov</w:t>
        </w:r>
      </w:hyperlink>
      <w:r>
        <w:t xml:space="preserve">)</w:t>
      </w:r>
    </w:p>
    <w:p>
      <w:pPr>
        <w:pStyle w:val="BodyText"/>
      </w:pPr>
      <w:r>
        <w:t xml:space="preserve">That matters because BLDR's sales tend to lag housing starts by roughly three months. Q2 revenue largely reflects earlier construction decisions; the April–June starts trajectory is therefore more relevant to Q3 and early Q4.</w:t>
      </w:r>
    </w:p>
    <w:p>
      <w:pPr>
        <w:pStyle w:val="BodyText"/>
      </w:pPr>
      <w:r>
        <w:t xml:space="preserve">Mortgage affordability remains restrictive as well. The average 30-year fixed mortgage rate was</w:t>
      </w:r>
      <w:r>
        <w:t xml:space="preserve"> </w:t>
      </w:r>
      <w:r>
        <w:rPr>
          <w:b/>
          <w:bCs/>
        </w:rPr>
        <w:t xml:space="preserve">6.58% as of July 23</w:t>
      </w:r>
      <w:r>
        <w:t xml:space="preserve">, limiting the likelihood of a forceful near-term housing recovery. (</w:t>
      </w:r>
      <w:hyperlink r:id="rId18">
        <w:r>
          <w:rPr>
            <w:rStyle w:val="Hyperlink"/>
          </w:rPr>
          <w:t xml:space="preserve">myhome.freddiemac.com</w:t>
        </w:r>
      </w:hyperlink>
      <w:r>
        <w:t xml:space="preserve">)</w:t>
      </w:r>
    </w:p>
    <w:p>
      <w:pPr>
        <w:pStyle w:val="BodyText"/>
      </w:pPr>
      <w:r>
        <w:rPr>
          <w:b/>
          <w:bCs/>
        </w:rPr>
        <w:t xml:space="preserve">Bottom line:</w:t>
      </w:r>
      <w:r>
        <w:t xml:space="preserve"> </w:t>
      </w:r>
      <w:r>
        <w:t xml:space="preserve">current industry data may be adequate for BLDR to maintain the low end of its annual assumptions, but they do not clearly support an optimistic second-half ramp.</w:t>
      </w:r>
    </w:p>
    <w:bookmarkEnd w:id="19"/>
    <w:bookmarkStart w:id="21" w:name="Xea9cffd2e34cca5bb9d01458c6cb20918ec1558"/>
    <w:p>
      <w:pPr>
        <w:pStyle w:val="Heading2"/>
      </w:pPr>
      <w:r>
        <w:t xml:space="preserve">4. Cost reductions need to become visible in earnings</w:t>
      </w:r>
    </w:p>
    <w:p>
      <w:pPr>
        <w:pStyle w:val="FirstParagraph"/>
      </w:pPr>
      <w:r>
        <w:t xml:space="preserve">BLDR entered the year with approximately</w:t>
      </w:r>
      <w:r>
        <w:t xml:space="preserve"> </w:t>
      </w:r>
      <w:r>
        <w:rPr>
          <w:b/>
          <w:bCs/>
        </w:rPr>
        <w:t xml:space="preserve">$100 million of cost actions</w:t>
      </w:r>
      <w:r>
        <w:t xml:space="preserve">, consisting of roughly $75 million of year-over-year reductions and $25 million of cost avoidance. It realized only $13 million in Q1, leaving most of the benefit expected in subsequent quarters. Management also targeted</w:t>
      </w:r>
      <w:r>
        <w:t xml:space="preserve"> </w:t>
      </w:r>
      <m:oMath>
        <m:r>
          <m:t>50</m:t>
        </m:r>
        <m:r>
          <m:t>m</m:t>
        </m:r>
        <m:r>
          <m:t>i</m:t>
        </m:r>
        <m:r>
          <m:t>l</m:t>
        </m:r>
        <m:r>
          <m:t>l</m:t>
        </m:r>
        <m:r>
          <m:t>i</m:t>
        </m:r>
        <m:r>
          <m:t>o</m:t>
        </m:r>
        <m:r>
          <m:t>n</m:t>
        </m:r>
        <m:r>
          <m:rPr>
            <m:sty m:val="p"/>
          </m:rPr>
          <m:t>–</m:t>
        </m:r>
      </m:oMath>
      <w:r>
        <w:t xml:space="preserve">70 million of separate productivity savings for the year. (</w:t>
      </w:r>
      <w:hyperlink r:id="rId20">
        <w:r>
          <w:rPr>
            <w:rStyle w:val="Hyperlink"/>
          </w:rPr>
          <w:t xml:space="preserve">marketbeat.com</w:t>
        </w:r>
      </w:hyperlink>
      <w:r>
        <w:t xml:space="preserve">)</w:t>
      </w:r>
    </w:p>
    <w:p>
      <w:pPr>
        <w:pStyle w:val="BodyText"/>
      </w:pPr>
      <w:r>
        <w:t xml:space="preserve">The Q2 report should clarify:</w:t>
      </w:r>
    </w:p>
    <w:p>
      <w:pPr>
        <w:pStyle w:val="Compact"/>
        <w:numPr>
          <w:ilvl w:val="0"/>
          <w:numId w:val="1005"/>
        </w:numPr>
      </w:pPr>
      <w:r>
        <w:t xml:space="preserve">How much of the cost program has flowed through the P&amp;L.</w:t>
      </w:r>
    </w:p>
    <w:p>
      <w:pPr>
        <w:pStyle w:val="Compact"/>
        <w:numPr>
          <w:ilvl w:val="0"/>
          <w:numId w:val="1005"/>
        </w:numPr>
      </w:pPr>
      <w:r>
        <w:t xml:space="preserve">Whether the savings are being absorbed by fuel, wage or vendor inflation.</w:t>
      </w:r>
    </w:p>
    <w:p>
      <w:pPr>
        <w:pStyle w:val="Compact"/>
        <w:numPr>
          <w:ilvl w:val="0"/>
          <w:numId w:val="1005"/>
        </w:numPr>
      </w:pPr>
      <w:r>
        <w:t xml:space="preserve">Whether further facility closures or headcount reductions are planned.</w:t>
      </w:r>
    </w:p>
    <w:p>
      <w:pPr>
        <w:pStyle w:val="Compact"/>
        <w:numPr>
          <w:ilvl w:val="0"/>
          <w:numId w:val="1005"/>
        </w:numPr>
      </w:pPr>
      <w:r>
        <w:t xml:space="preserve">Whether BLDR can retain enough capacity to benefit when demand eventually improves.</w:t>
      </w:r>
    </w:p>
    <w:p>
      <w:pPr>
        <w:pStyle w:val="FirstParagraph"/>
      </w:pPr>
      <w:r>
        <w:t xml:space="preserve">A key distinction is whether Q2's sequential margin improvement comes from</w:t>
      </w:r>
      <w:r>
        <w:t xml:space="preserve"> </w:t>
      </w:r>
      <w:r>
        <w:rPr>
          <w:b/>
          <w:bCs/>
        </w:rPr>
        <w:t xml:space="preserve">sustainable cost reductions</w:t>
      </w:r>
      <w:r>
        <w:t xml:space="preserve"> </w:t>
      </w:r>
      <w:r>
        <w:t xml:space="preserve">or merely normal seasonality. The former supports higher normalized earnings power; the latter leaves the company exposed if demand weakens again after the summer.</w:t>
      </w:r>
    </w:p>
    <w:bookmarkEnd w:id="21"/>
    <w:bookmarkStart w:id="22" w:name="Xd3188ff16e465d9a24937a656bd961458af6874"/>
    <w:p>
      <w:pPr>
        <w:pStyle w:val="Heading2"/>
      </w:pPr>
      <w:r>
        <w:t xml:space="preserve">5. Market-share gains are positive—but the quality of those gains matters</w:t>
      </w:r>
    </w:p>
    <w:p>
      <w:pPr>
        <w:pStyle w:val="FirstParagraph"/>
      </w:pPr>
      <w:r>
        <w:t xml:space="preserve">BLDR says it is taking share through customer service, broad product bundling, manufactured components, installation and digital tools. The scale advantage is strategically valuable, especially as smaller suppliers struggle with low utilization and limited liquidity.</w:t>
      </w:r>
    </w:p>
    <w:p>
      <w:pPr>
        <w:pStyle w:val="BodyText"/>
      </w:pPr>
      <w:r>
        <w:t xml:space="preserve">However, management has acknowledged that some share gains include additional lumber and sheet-goods volume. Those products carry lower margins and can dilute the consolidated percentage even if they increase gross-profit dollars and deepen builder relationships.</w:t>
      </w:r>
    </w:p>
    <w:p>
      <w:pPr>
        <w:pStyle w:val="BodyText"/>
      </w:pPr>
      <w:r>
        <w:t xml:space="preserve">Investors should therefore look beyond headline organic sales:</w:t>
      </w:r>
    </w:p>
    <w:p>
      <w:pPr>
        <w:pStyle w:val="Compact"/>
        <w:numPr>
          <w:ilvl w:val="0"/>
          <w:numId w:val="1006"/>
        </w:numPr>
      </w:pPr>
      <w:r>
        <w:t xml:space="preserve">Is BLDR outperforming underlying single-family starts?</w:t>
      </w:r>
    </w:p>
    <w:p>
      <w:pPr>
        <w:pStyle w:val="Compact"/>
        <w:numPr>
          <w:ilvl w:val="0"/>
          <w:numId w:val="1006"/>
        </w:numPr>
      </w:pPr>
      <w:r>
        <w:t xml:space="preserve">Are manufactured products and windows, doors and millwork stabilizing?</w:t>
      </w:r>
    </w:p>
    <w:p>
      <w:pPr>
        <w:pStyle w:val="Compact"/>
        <w:numPr>
          <w:ilvl w:val="0"/>
          <w:numId w:val="1006"/>
        </w:numPr>
      </w:pPr>
      <w:r>
        <w:t xml:space="preserve">Is the company gaining profitable share or primarily filling capacity?</w:t>
      </w:r>
    </w:p>
    <w:p>
      <w:pPr>
        <w:pStyle w:val="Compact"/>
        <w:numPr>
          <w:ilvl w:val="0"/>
          <w:numId w:val="1006"/>
        </w:numPr>
      </w:pPr>
      <w:r>
        <w:t xml:space="preserve">Are bundled customers adopting more value-added products over time?</w:t>
      </w:r>
    </w:p>
    <w:p>
      <w:pPr>
        <w:pStyle w:val="FirstParagraph"/>
      </w:pPr>
      <w:r>
        <w:t xml:space="preserve">In Q1, value-added product sales declined 11%, including a 13.7% decline in manufactured products. A narrowing of those declines would be a constructive leading indicator. (</w:t>
      </w:r>
      <w:hyperlink r:id="rId13">
        <w:r>
          <w:rPr>
            <w:rStyle w:val="Hyperlink"/>
          </w:rPr>
          <w:t xml:space="preserve">s202.q4cdn.com</w:t>
        </w:r>
      </w:hyperlink>
      <w:r>
        <w:t xml:space="preserve">)</w:t>
      </w:r>
    </w:p>
    <w:bookmarkEnd w:id="22"/>
    <w:bookmarkStart w:id="23" w:name="Xdf1a35b5ff85b459d932ca284ee1470f98b3911"/>
    <w:p>
      <w:pPr>
        <w:pStyle w:val="Heading2"/>
      </w:pPr>
      <w:r>
        <w:t xml:space="preserve">6. Balance-sheet discipline and buybacks deserve scrutiny</w:t>
      </w:r>
    </w:p>
    <w:p>
      <w:pPr>
        <w:pStyle w:val="FirstParagraph"/>
      </w:pPr>
      <w:r>
        <w:t xml:space="preserve">BLDR ended Q1 with approximately</w:t>
      </w:r>
      <w:r>
        <w:t xml:space="preserve"> </w:t>
      </w:r>
      <w:r>
        <w:rPr>
          <w:b/>
          <w:bCs/>
        </w:rPr>
        <w:t xml:space="preserve">$4.6 billion of net debt</w:t>
      </w:r>
      <w:r>
        <w:t xml:space="preserve">, $1.5 billion of liquidity and net leverage of</w:t>
      </w:r>
      <w:r>
        <w:t xml:space="preserve"> </w:t>
      </w:r>
      <w:r>
        <w:rPr>
          <w:b/>
          <w:bCs/>
        </w:rPr>
        <w:t xml:space="preserve">3.2 times trailing adjusted EBITDA</w:t>
      </w:r>
      <w:r>
        <w:t xml:space="preserve">. That is well above management's stated long-term comfort range of 1–2 times, although liquidity remains substantial and debt maturities are manageable. (</w:t>
      </w:r>
      <w:hyperlink r:id="rId13">
        <w:r>
          <w:rPr>
            <w:rStyle w:val="Hyperlink"/>
          </w:rPr>
          <w:t xml:space="preserve">s202.q4cdn.com</w:t>
        </w:r>
      </w:hyperlink>
      <w:r>
        <w:t xml:space="preserve">)</w:t>
      </w:r>
    </w:p>
    <w:p>
      <w:pPr>
        <w:pStyle w:val="BodyText"/>
      </w:pPr>
      <w:r>
        <w:t xml:space="preserve">Despite the earnings decline, BLDR repurchased</w:t>
      </w:r>
      <w:r>
        <w:t xml:space="preserve"> </w:t>
      </w:r>
      <w:r>
        <w:rPr>
          <w:b/>
          <w:bCs/>
        </w:rPr>
        <w:t xml:space="preserve">$303 million</w:t>
      </w:r>
      <w:r>
        <w:t xml:space="preserve"> </w:t>
      </w:r>
      <w:r>
        <w:t xml:space="preserve">of stock in Q1 at an average price of $92.25 and authorized a total of $500 million for future repurchases. Since August 2021, it has retired nearly half of its shares at an average price of $81.26. (</w:t>
      </w:r>
      <w:hyperlink r:id="rId13">
        <w:r>
          <w:rPr>
            <w:rStyle w:val="Hyperlink"/>
          </w:rPr>
          <w:t xml:space="preserve">s202.q4cdn.com</w:t>
        </w:r>
      </w:hyperlink>
      <w:r>
        <w:t xml:space="preserve">)</w:t>
      </w:r>
    </w:p>
    <w:p>
      <w:pPr>
        <w:pStyle w:val="BodyText"/>
      </w:pPr>
      <w:r>
        <w:t xml:space="preserve">With the stock now below both the Q1 repurchase price and the historical program average, buybacks are more attractive on valuation grounds. But lower trailing EBITDA mechanically increases leverage. Investors should listen for whether management prioritizes:</w:t>
      </w:r>
    </w:p>
    <w:p>
      <w:pPr>
        <w:pStyle w:val="Compact"/>
        <w:numPr>
          <w:ilvl w:val="0"/>
          <w:numId w:val="1007"/>
        </w:numPr>
      </w:pPr>
      <w:r>
        <w:t xml:space="preserve">Further repurchases,</w:t>
      </w:r>
    </w:p>
    <w:p>
      <w:pPr>
        <w:pStyle w:val="Compact"/>
        <w:numPr>
          <w:ilvl w:val="0"/>
          <w:numId w:val="1007"/>
        </w:numPr>
      </w:pPr>
      <w:r>
        <w:t xml:space="preserve">Debt reduction,</w:t>
      </w:r>
    </w:p>
    <w:p>
      <w:pPr>
        <w:pStyle w:val="Compact"/>
        <w:numPr>
          <w:ilvl w:val="0"/>
          <w:numId w:val="1007"/>
        </w:numPr>
      </w:pPr>
      <w:r>
        <w:t xml:space="preserve">Acquisitions, or</w:t>
      </w:r>
    </w:p>
    <w:p>
      <w:pPr>
        <w:pStyle w:val="Compact"/>
        <w:numPr>
          <w:ilvl w:val="0"/>
          <w:numId w:val="1007"/>
        </w:numPr>
      </w:pPr>
      <w:r>
        <w:t xml:space="preserve">Preserving liquidity until housing conditions stabilize.</w:t>
      </w:r>
    </w:p>
    <w:p>
      <w:pPr>
        <w:pStyle w:val="FirstParagraph"/>
      </w:pPr>
      <w:r>
        <w:t xml:space="preserve">Aggressive buybacks alongside another guidance cut would likely receive a less favorable reception than repurchases funded by improving free cash flow.</w:t>
      </w:r>
    </w:p>
    <w:bookmarkEnd w:id="23"/>
    <w:bookmarkStart w:id="27" w:name="likely-stock-reaction-framework"/>
    <w:p>
      <w:pPr>
        <w:pStyle w:val="Heading2"/>
      </w:pPr>
      <w:r>
        <w:t xml:space="preserve">Likely stock-reaction framework</w:t>
      </w:r>
    </w:p>
    <w:bookmarkStart w:id="24" w:name="bullish-outcome"/>
    <w:p>
      <w:pPr>
        <w:pStyle w:val="Heading3"/>
      </w:pPr>
      <w:r>
        <w:t xml:space="preserve">Bullish outcome</w:t>
      </w:r>
    </w:p>
    <w:p>
      <w:pPr>
        <w:pStyle w:val="Compact"/>
        <w:numPr>
          <w:ilvl w:val="0"/>
          <w:numId w:val="1008"/>
        </w:numPr>
      </w:pPr>
      <w:r>
        <w:t xml:space="preserve">Revenue in the upper half of guidance.</w:t>
      </w:r>
    </w:p>
    <w:p>
      <w:pPr>
        <w:pStyle w:val="Compact"/>
        <w:numPr>
          <w:ilvl w:val="0"/>
          <w:numId w:val="1008"/>
        </w:numPr>
      </w:pPr>
      <w:r>
        <w:t xml:space="preserve">Adjusted EBITDA above $350 million.</w:t>
      </w:r>
    </w:p>
    <w:p>
      <w:pPr>
        <w:pStyle w:val="Compact"/>
        <w:numPr>
          <w:ilvl w:val="0"/>
          <w:numId w:val="1008"/>
        </w:numPr>
      </w:pPr>
      <w:r>
        <w:t xml:space="preserve">Clear sequential gross-margin recovery.</w:t>
      </w:r>
    </w:p>
    <w:p>
      <w:pPr>
        <w:pStyle w:val="Compact"/>
        <w:numPr>
          <w:ilvl w:val="0"/>
          <w:numId w:val="1008"/>
        </w:numPr>
      </w:pPr>
      <w:r>
        <w:t xml:space="preserve">Full-year EBITDA and free-cash-flow guidance reaffirmed.</w:t>
      </w:r>
    </w:p>
    <w:p>
      <w:pPr>
        <w:pStyle w:val="Compact"/>
        <w:numPr>
          <w:ilvl w:val="0"/>
          <w:numId w:val="1008"/>
        </w:numPr>
      </w:pPr>
      <w:r>
        <w:t xml:space="preserve">Cost savings tracking at or above plan.</w:t>
      </w:r>
    </w:p>
    <w:p>
      <w:pPr>
        <w:pStyle w:val="Compact"/>
        <w:numPr>
          <w:ilvl w:val="0"/>
          <w:numId w:val="1008"/>
        </w:numPr>
      </w:pPr>
      <w:r>
        <w:t xml:space="preserve">Commentary that value-added and specialty margins are stabilizing.</w:t>
      </w:r>
    </w:p>
    <w:p>
      <w:pPr>
        <w:pStyle w:val="Compact"/>
        <w:numPr>
          <w:ilvl w:val="0"/>
          <w:numId w:val="1008"/>
        </w:numPr>
      </w:pPr>
      <w:r>
        <w:t xml:space="preserve">No meaningful deterioration in private-builder demand.</w:t>
      </w:r>
    </w:p>
    <w:p>
      <w:pPr>
        <w:pStyle w:val="FirstParagraph"/>
      </w:pPr>
      <w:r>
        <w:t xml:space="preserve">Given the stock's large decline, this combination could produce a material relief rally.</w:t>
      </w:r>
    </w:p>
    <w:bookmarkEnd w:id="24"/>
    <w:bookmarkStart w:id="25" w:name="neutral-or-mixed-outcome"/>
    <w:p>
      <w:pPr>
        <w:pStyle w:val="Heading3"/>
      </w:pPr>
      <w:r>
        <w:t xml:space="preserve">Neutral or mixed outcome</w:t>
      </w:r>
    </w:p>
    <w:p>
      <w:pPr>
        <w:pStyle w:val="Compact"/>
        <w:numPr>
          <w:ilvl w:val="0"/>
          <w:numId w:val="1009"/>
        </w:numPr>
      </w:pPr>
      <w:r>
        <w:t xml:space="preserve">Revenue and EBITDA around the midpoint.</w:t>
      </w:r>
    </w:p>
    <w:p>
      <w:pPr>
        <w:pStyle w:val="Compact"/>
        <w:numPr>
          <w:ilvl w:val="0"/>
          <w:numId w:val="1009"/>
        </w:numPr>
      </w:pPr>
      <w:r>
        <w:t xml:space="preserve">Full-year range maintained, but management emphasizes the low end.</w:t>
      </w:r>
    </w:p>
    <w:p>
      <w:pPr>
        <w:pStyle w:val="Compact"/>
        <w:numPr>
          <w:ilvl w:val="0"/>
          <w:numId w:val="1009"/>
        </w:numPr>
      </w:pPr>
      <w:r>
        <w:t xml:space="preserve">Cost savings offsetting only part of continued pricing pressure.</w:t>
      </w:r>
    </w:p>
    <w:p>
      <w:pPr>
        <w:pStyle w:val="Compact"/>
        <w:numPr>
          <w:ilvl w:val="0"/>
          <w:numId w:val="1009"/>
        </w:numPr>
      </w:pPr>
      <w:r>
        <w:t xml:space="preserve">Limited visibility into a second-half demand recovery.</w:t>
      </w:r>
    </w:p>
    <w:p>
      <w:pPr>
        <w:pStyle w:val="FirstParagraph"/>
      </w:pPr>
      <w:r>
        <w:t xml:space="preserve">The stock reaction would probably depend on whether investors interpret the maintained guide as credible or merely stale.</w:t>
      </w:r>
    </w:p>
    <w:bookmarkEnd w:id="25"/>
    <w:bookmarkStart w:id="26" w:name="bearish-outcome"/>
    <w:p>
      <w:pPr>
        <w:pStyle w:val="Heading3"/>
      </w:pPr>
      <w:r>
        <w:t xml:space="preserve">Bearish outcome</w:t>
      </w:r>
    </w:p>
    <w:p>
      <w:pPr>
        <w:pStyle w:val="Compact"/>
        <w:numPr>
          <w:ilvl w:val="0"/>
          <w:numId w:val="1010"/>
        </w:numPr>
      </w:pPr>
      <w:r>
        <w:t xml:space="preserve">EBITDA below $300 million or margin fails to recover meaningfully from Q1.</w:t>
      </w:r>
    </w:p>
    <w:p>
      <w:pPr>
        <w:pStyle w:val="Compact"/>
        <w:numPr>
          <w:ilvl w:val="0"/>
          <w:numId w:val="1010"/>
        </w:numPr>
      </w:pPr>
      <w:r>
        <w:t xml:space="preserve">Full-year EBITDA or free-cash-flow guidance reduced.</w:t>
      </w:r>
    </w:p>
    <w:p>
      <w:pPr>
        <w:pStyle w:val="Compact"/>
        <w:numPr>
          <w:ilvl w:val="0"/>
          <w:numId w:val="1010"/>
        </w:numPr>
      </w:pPr>
      <w:r>
        <w:t xml:space="preserve">Weak private-builder demand and declining starts expectations.</w:t>
      </w:r>
    </w:p>
    <w:p>
      <w:pPr>
        <w:pStyle w:val="Compact"/>
        <w:numPr>
          <w:ilvl w:val="0"/>
          <w:numId w:val="1010"/>
        </w:numPr>
      </w:pPr>
      <w:r>
        <w:t xml:space="preserve">Continued specialty-product margin compression.</w:t>
      </w:r>
    </w:p>
    <w:p>
      <w:pPr>
        <w:pStyle w:val="Compact"/>
        <w:numPr>
          <w:ilvl w:val="0"/>
          <w:numId w:val="1010"/>
        </w:numPr>
      </w:pPr>
      <w:r>
        <w:t xml:space="preserve">Higher leverage combined with aggressive repurchases.</w:t>
      </w:r>
    </w:p>
    <w:p>
      <w:pPr>
        <w:pStyle w:val="Compact"/>
        <w:numPr>
          <w:ilvl w:val="0"/>
          <w:numId w:val="1010"/>
        </w:numPr>
      </w:pPr>
      <w:r>
        <w:t xml:space="preserve">Additional cost actions indicating the existing program is insufficient.</w:t>
      </w:r>
    </w:p>
    <w:bookmarkEnd w:id="26"/>
    <w:bookmarkEnd w:id="27"/>
    <w:bookmarkStart w:id="28" w:name="key-questions-for-the-call"/>
    <w:p>
      <w:pPr>
        <w:pStyle w:val="Heading2"/>
      </w:pPr>
      <w:r>
        <w:t xml:space="preserve">Key questions for the call</w:t>
      </w:r>
    </w:p>
    <w:p>
      <w:pPr>
        <w:pStyle w:val="Compact"/>
        <w:numPr>
          <w:ilvl w:val="0"/>
          <w:numId w:val="1011"/>
        </w:numPr>
      </w:pPr>
      <w:r>
        <w:rPr>
          <w:b/>
          <w:bCs/>
        </w:rPr>
        <w:t xml:space="preserve">What were daily sales trends in June and July?</w:t>
      </w:r>
    </w:p>
    <w:p>
      <w:pPr>
        <w:pStyle w:val="Compact"/>
        <w:numPr>
          <w:ilvl w:val="0"/>
          <w:numId w:val="1011"/>
        </w:numPr>
      </w:pPr>
      <w:r>
        <w:rPr>
          <w:b/>
          <w:bCs/>
        </w:rPr>
        <w:t xml:space="preserve">How much did gross margin improve sequentially, and which product categories drove the change?</w:t>
      </w:r>
    </w:p>
    <w:p>
      <w:pPr>
        <w:pStyle w:val="Compact"/>
        <w:numPr>
          <w:ilvl w:val="0"/>
          <w:numId w:val="1011"/>
        </w:numPr>
      </w:pPr>
      <w:r>
        <w:rPr>
          <w:b/>
          <w:bCs/>
        </w:rPr>
        <w:t xml:space="preserve">What portion of the $100 million cost program was realized in Q2?</w:t>
      </w:r>
    </w:p>
    <w:p>
      <w:pPr>
        <w:pStyle w:val="Compact"/>
        <w:numPr>
          <w:ilvl w:val="0"/>
          <w:numId w:val="1011"/>
        </w:numPr>
      </w:pPr>
      <w:r>
        <w:rPr>
          <w:b/>
          <w:bCs/>
        </w:rPr>
        <w:t xml:space="preserve">Does management still expect approximately a 9.5%–10% EBITDA margin in the second half?</w:t>
      </w:r>
    </w:p>
    <w:p>
      <w:pPr>
        <w:pStyle w:val="Compact"/>
        <w:numPr>
          <w:ilvl w:val="0"/>
          <w:numId w:val="1011"/>
        </w:numPr>
      </w:pPr>
      <w:r>
        <w:rPr>
          <w:b/>
          <w:bCs/>
        </w:rPr>
        <w:t xml:space="preserve">How have public-builder and private-builder demand trends diverged?</w:t>
      </w:r>
    </w:p>
    <w:p>
      <w:pPr>
        <w:pStyle w:val="Compact"/>
        <w:numPr>
          <w:ilvl w:val="0"/>
          <w:numId w:val="1011"/>
        </w:numPr>
      </w:pPr>
      <w:r>
        <w:rPr>
          <w:b/>
          <w:bCs/>
        </w:rPr>
        <w:t xml:space="preserve">Is BLDR seeing stabilization in truss, engineered-wood and other manufactured-product pricing?</w:t>
      </w:r>
    </w:p>
    <w:p>
      <w:pPr>
        <w:pStyle w:val="Compact"/>
        <w:numPr>
          <w:ilvl w:val="0"/>
          <w:numId w:val="1011"/>
        </w:numPr>
      </w:pPr>
      <w:r>
        <w:rPr>
          <w:b/>
          <w:bCs/>
        </w:rPr>
        <w:t xml:space="preserve">How much fuel and transportation inflation remains unrecovered?</w:t>
      </w:r>
    </w:p>
    <w:p>
      <w:pPr>
        <w:pStyle w:val="Compact"/>
        <w:numPr>
          <w:ilvl w:val="0"/>
          <w:numId w:val="1011"/>
        </w:numPr>
      </w:pPr>
      <w:r>
        <w:rPr>
          <w:b/>
          <w:bCs/>
        </w:rPr>
        <w:t xml:space="preserve">What is the latest leverage level, and will buybacks slow until EBITDA improves?</w:t>
      </w:r>
    </w:p>
    <w:p>
      <w:pPr>
        <w:pStyle w:val="Compact"/>
        <w:numPr>
          <w:ilvl w:val="0"/>
          <w:numId w:val="1011"/>
        </w:numPr>
      </w:pPr>
      <w:r>
        <w:rPr>
          <w:b/>
          <w:bCs/>
        </w:rPr>
        <w:t xml:space="preserve">Are acquisitions becoming more attractive as smaller competitors face financial stress?</w:t>
      </w:r>
    </w:p>
    <w:p>
      <w:pPr>
        <w:pStyle w:val="Compact"/>
        <w:numPr>
          <w:ilvl w:val="0"/>
          <w:numId w:val="1011"/>
        </w:numPr>
      </w:pPr>
      <w:r>
        <w:rPr>
          <w:b/>
          <w:bCs/>
        </w:rPr>
        <w:t xml:space="preserve">Has the expected timing of a multifamily recovery changed?</w:t>
      </w:r>
    </w:p>
    <w:bookmarkEnd w:id="28"/>
    <w:bookmarkStart w:id="29" w:name="bottom-line"/>
    <w:p>
      <w:pPr>
        <w:pStyle w:val="Heading2"/>
      </w:pPr>
      <w:r>
        <w:t xml:space="preserve">Bottom line</w:t>
      </w:r>
    </w:p>
    <w:p>
      <w:pPr>
        <w:pStyle w:val="FirstParagraph"/>
      </w:pPr>
      <w:r>
        <w:t xml:space="preserve">The consensus bar for Q2 itself looks achievable: expected revenue is near the midpoint of company guidance, and the stock has already priced in a substantial earnings decline. The more difficult hurdle is convincing investors that</w:t>
      </w:r>
      <w:r>
        <w:t xml:space="preserve"> </w:t>
      </w:r>
      <w:r>
        <w:rPr>
          <w:b/>
          <w:bCs/>
        </w:rPr>
        <w:t xml:space="preserve">Q1 represented the margin trough and that the second-half earnings ramp remains intact</w:t>
      </w:r>
      <w:r>
        <w:t xml:space="preserve">.</w:t>
      </w:r>
    </w:p>
    <w:p>
      <w:pPr>
        <w:pStyle w:val="BodyText"/>
      </w:pPr>
      <w:r>
        <w:t xml:space="preserve">The highest-value datapoints will be</w:t>
      </w:r>
      <w:r>
        <w:t xml:space="preserve"> </w:t>
      </w:r>
      <w:r>
        <w:rPr>
          <w:b/>
          <w:bCs/>
        </w:rPr>
        <w:t xml:space="preserve">adjusted EBITDA, gross margin, cost-savings realization and full-year guidance</w:t>
      </w:r>
      <w:r>
        <w:t xml:space="preserve">. A modest EPS beat without confidence in second-half margins is unlikely to change the narrative. Conversely, stable guidance and credible evidence that margins are recovering could be enough for a meaningful positive reaction given the stock's severe year-to-date underperformance.</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s.bldr.com/news/news-details/2025/Builders-FirstSource-Reports-Second-Quarter-2025-Results/default.aspx?utm_source=openai" TargetMode="External" /><Relationship Type="http://schemas.openxmlformats.org/officeDocument/2006/relationships/hyperlink" Id="rId18" Target="https://myhome.freddiemac.com/buying/mortgage-rates" TargetMode="External" /><Relationship Type="http://schemas.openxmlformats.org/officeDocument/2006/relationships/hyperlink" Id="rId13" Target="https://s202.q4cdn.com/867695273/files/doc_news/Builders-FirstSource-Reports-First-Quarter-2026-Results-2026.pdf" TargetMode="External" /><Relationship Type="http://schemas.openxmlformats.org/officeDocument/2006/relationships/hyperlink" Id="rId16" Target="https://www.census.gov/construction/nrc/pdf/newresconst_202604.pdf?utm_source=openai" TargetMode="External" /><Relationship Type="http://schemas.openxmlformats.org/officeDocument/2006/relationships/hyperlink" Id="rId17" Target="https://www.census.gov/construction/nrs/current/" TargetMode="External" /><Relationship Type="http://schemas.openxmlformats.org/officeDocument/2006/relationships/hyperlink" Id="rId20" Target="https://www.marketbeat.com/earnings/reports/2026-4-30-builders-firstsource-inc-stock/?utm_source=openai" TargetMode="External" /><Relationship Type="http://schemas.openxmlformats.org/officeDocument/2006/relationships/hyperlink" Id="rId10" Target="https://www.marketbeat.com/earnings/reports/2026-7-30-builders-firstsource-inc-stock/"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s.bldr.com/news/news-details/2025/Builders-FirstSource-Reports-Second-Quarter-2025-Results/default.aspx?utm_source=openai" TargetMode="External" /><Relationship Type="http://schemas.openxmlformats.org/officeDocument/2006/relationships/hyperlink" Id="rId18" Target="https://myhome.freddiemac.com/buying/mortgage-rates" TargetMode="External" /><Relationship Type="http://schemas.openxmlformats.org/officeDocument/2006/relationships/hyperlink" Id="rId13" Target="https://s202.q4cdn.com/867695273/files/doc_news/Builders-FirstSource-Reports-First-Quarter-2026-Results-2026.pdf" TargetMode="External" /><Relationship Type="http://schemas.openxmlformats.org/officeDocument/2006/relationships/hyperlink" Id="rId16" Target="https://www.census.gov/construction/nrc/pdf/newresconst_202604.pdf?utm_source=openai" TargetMode="External" /><Relationship Type="http://schemas.openxmlformats.org/officeDocument/2006/relationships/hyperlink" Id="rId17" Target="https://www.census.gov/construction/nrs/current/" TargetMode="External" /><Relationship Type="http://schemas.openxmlformats.org/officeDocument/2006/relationships/hyperlink" Id="rId20" Target="https://www.marketbeat.com/earnings/reports/2026-4-30-builders-firstsource-inc-stock/?utm_source=openai" TargetMode="External" /><Relationship Type="http://schemas.openxmlformats.org/officeDocument/2006/relationships/hyperlink" Id="rId10" Target="https://www.marketbeat.com/earnings/reports/2026-7-30-builders-firstsource-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2026-07-29T18:36:27Z</dcterms:created>
  <dcterms:modified xsi:type="dcterms:W3CDTF">2026-07-29T18:36:27Z</dcterms:modified>
</cp:coreProperties>
</file>

<file path=docProps/custom.xml><?xml version="1.0" encoding="utf-8"?>
<Properties xmlns="http://schemas.openxmlformats.org/officeDocument/2006/custom-properties" xmlns:vt="http://schemas.openxmlformats.org/officeDocument/2006/docPropsVTypes"/>
</file>