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7" w:name="X441e7f3a808671be9e8536fe12a09d4829a072c"/>
    <w:p>
      <w:pPr>
        <w:pStyle w:val="Heading1"/>
      </w:pPr>
      <w:r>
        <w:t xml:space="preserve">Builders FirstSource (NYSE: BLDR) — 2Q26 Earnings Preview</w:t>
      </w:r>
    </w:p>
    <w:p>
      <w:pPr>
        <w:pStyle w:val="FirstParagraph"/>
      </w:pPr>
      <w:r>
        <w:rPr>
          <w:b/>
          <w:bCs/>
        </w:rPr>
        <w:t xml:space="preserve">Earnings date:</w:t>
      </w:r>
      <w:r>
        <w:t xml:space="preserve"> </w:t>
      </w:r>
      <w:r>
        <w:t xml:space="preserve">Thursday, July 30, 2026</w:t>
      </w:r>
      <w:r>
        <w:br/>
      </w:r>
      <w:r>
        <w:rPr>
          <w:b/>
          <w:bCs/>
        </w:rPr>
        <w:t xml:space="preserve">Event:</w:t>
      </w:r>
      <w:r>
        <w:t xml:space="preserve"> </w:t>
      </w:r>
      <w:r>
        <w:t xml:space="preserve">2026Q2 Earnings Call</w:t>
      </w:r>
      <w:r>
        <w:br/>
      </w:r>
      <w:r>
        <w:rPr>
          <w:b/>
          <w:bCs/>
        </w:rPr>
        <w:t xml:space="preserve">Preview stance:</w:t>
      </w:r>
      <w:r>
        <w:t xml:space="preserve"> </w:t>
      </w:r>
      <w:r>
        <w:t xml:space="preserve">The central question is not whether 2Q results fall year over year—they almost certainly will—but whether BLDR can demonstrate that</w:t>
      </w:r>
      <w:r>
        <w:t xml:space="preserve"> </w:t>
      </w:r>
      <w:r>
        <w:rPr>
          <w:b/>
          <w:bCs/>
        </w:rPr>
        <w:t xml:space="preserve">1Q was the cyclical margin trough</w:t>
      </w:r>
      <w:r>
        <w:t xml:space="preserve"> </w:t>
      </w:r>
      <w:r>
        <w:t xml:space="preserve">and preserve its full-year outlook despite soft residential construction, intense price competition, and higher fuel/input costs.</w:t>
      </w:r>
    </w:p>
    <w:bookmarkStart w:id="9" w:name="what-management-has-guided-to"/>
    <w:p>
      <w:pPr>
        <w:pStyle w:val="Heading2"/>
      </w:pPr>
      <w:r>
        <w:t xml:space="preserve">What management has guided to</w:t>
      </w:r>
    </w:p>
    <w:p>
      <w:pPr>
        <w:pStyle w:val="FirstParagraph"/>
      </w:pPr>
      <w:r>
        <w:t xml:space="preserve">At the 1Q26 report, BLDR guided for:</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2Q26 guidance</w:t>
            </w:r>
          </w:p>
        </w:tc>
        <w:tc>
          <w:tcPr/>
          <w:p>
            <w:pPr>
              <w:pStyle w:val="Compact"/>
              <w:jc w:val="right"/>
            </w:pPr>
            <w:r>
              <w:t xml:space="preserve">2Q25 actual</w:t>
            </w:r>
          </w:p>
        </w:tc>
        <w:tc>
          <w:tcPr/>
          <w:p>
            <w:pPr>
              <w:pStyle w:val="Compact"/>
              <w:jc w:val="right"/>
            </w:pPr>
            <w:r>
              <w:t xml:space="preserve">Implied YoY change at midpoint</w:t>
            </w:r>
          </w:p>
        </w:tc>
      </w:tr>
      <w:tr>
        <w:tc>
          <w:tcPr/>
          <w:p>
            <w:pPr>
              <w:pStyle w:val="Compact"/>
            </w:pPr>
            <w:r>
              <w:t xml:space="preserve">Net sales:</w:t>
            </w:r>
            <w:r>
              <w:t xml:space="preserve"> </w:t>
            </w:r>
            <m:oMath>
              <m:r>
                <m:t>3.75</m:t>
              </m:r>
              <m:r>
                <m:t>B</m:t>
              </m:r>
              <m:r>
                <m:rPr>
                  <m:sty m:val="p"/>
                </m:rPr>
                <m:t>–</m:t>
              </m:r>
            </m:oMath>
            <w:r>
              <w:rPr>
                <w:b/>
                <w:bCs/>
              </w:rPr>
              <w:t xml:space="preserve">4.05B</w:t>
            </w:r>
          </w:p>
        </w:tc>
        <w:tc>
          <w:tcPr/>
          <w:p>
            <w:pPr>
              <w:pStyle w:val="Compact"/>
              <w:jc w:val="right"/>
            </w:pPr>
            <w:r>
              <w:t xml:space="preserve">$4.23B</w:t>
            </w:r>
          </w:p>
        </w:tc>
        <w:tc>
          <w:tcPr/>
          <w:p>
            <w:pPr>
              <w:pStyle w:val="Compact"/>
              <w:jc w:val="right"/>
            </w:pPr>
            <w:r>
              <w:rPr>
                <w:b/>
                <w:bCs/>
              </w:rPr>
              <w:t xml:space="preserve">~(7.9%)</w:t>
            </w:r>
          </w:p>
        </w:tc>
      </w:tr>
      <w:tr>
        <w:tc>
          <w:tcPr/>
          <w:p>
            <w:pPr>
              <w:pStyle w:val="Compact"/>
            </w:pPr>
            <w:r>
              <w:t xml:space="preserve">Adjusted EBITDA:</w:t>
            </w:r>
            <w:r>
              <w:t xml:space="preserve"> </w:t>
            </w:r>
            <m:oMath>
              <m:r>
                <m:t>300</m:t>
              </m:r>
              <m:r>
                <m:t>M</m:t>
              </m:r>
              <m:r>
                <m:rPr>
                  <m:sty m:val="p"/>
                </m:rPr>
                <m:t>–</m:t>
              </m:r>
            </m:oMath>
            <w:r>
              <w:rPr>
                <w:b/>
                <w:bCs/>
              </w:rPr>
              <w:t xml:space="preserve">350M</w:t>
            </w:r>
          </w:p>
        </w:tc>
        <w:tc>
          <w:tcPr/>
          <w:p>
            <w:pPr>
              <w:pStyle w:val="Compact"/>
              <w:jc w:val="right"/>
            </w:pPr>
            <w:r>
              <w:t xml:space="preserve">$506M</w:t>
            </w:r>
          </w:p>
        </w:tc>
        <w:tc>
          <w:tcPr/>
          <w:p>
            <w:pPr>
              <w:pStyle w:val="Compact"/>
              <w:jc w:val="right"/>
            </w:pPr>
            <w:r>
              <w:rPr>
                <w:b/>
                <w:bCs/>
              </w:rPr>
              <w:t xml:space="preserve">~(35.8%)</w:t>
            </w:r>
          </w:p>
        </w:tc>
      </w:tr>
      <w:tr>
        <w:tc>
          <w:tcPr/>
          <w:p>
            <w:pPr>
              <w:pStyle w:val="Compact"/>
            </w:pPr>
            <w:r>
              <w:t xml:space="preserve">Adjusted EBITDA margin:</w:t>
            </w:r>
            <w:r>
              <w:t xml:space="preserve"> </w:t>
            </w:r>
            <w:r>
              <w:rPr>
                <w:b/>
                <w:bCs/>
              </w:rPr>
              <w:t xml:space="preserve">~8.0%–8.6%</w:t>
            </w:r>
          </w:p>
        </w:tc>
        <w:tc>
          <w:tcPr/>
          <w:p>
            <w:pPr>
              <w:pStyle w:val="Compact"/>
              <w:jc w:val="right"/>
            </w:pPr>
            <w:r>
              <w:t xml:space="preserve">12.0%</w:t>
            </w:r>
          </w:p>
        </w:tc>
        <w:tc>
          <w:tcPr/>
          <w:p>
            <w:pPr>
              <w:pStyle w:val="Compact"/>
              <w:jc w:val="right"/>
            </w:pPr>
            <w:r>
              <w:rPr>
                <w:b/>
                <w:bCs/>
              </w:rPr>
              <w:t xml:space="preserve">~(350) bps</w:t>
            </w:r>
            <w:r>
              <w:t xml:space="preserve"> </w:t>
            </w:r>
            <w:r>
              <w:t xml:space="preserve">at midpoint</w:t>
            </w:r>
          </w:p>
        </w:tc>
      </w:tr>
    </w:tbl>
    <w:p>
      <w:pPr>
        <w:pStyle w:val="BodyText"/>
      </w:pPr>
      <w:r>
        <w:t xml:space="preserve">The guide therefore anticipates a meaningful sequential recovery from 1Q’s</w:t>
      </w:r>
      <w:r>
        <w:t xml:space="preserve"> </w:t>
      </w:r>
      <w:r>
        <w:rPr>
          <w:b/>
          <w:bCs/>
        </w:rPr>
        <w:t xml:space="preserve">$214M of adjusted EBITDA and 6.5% margin</w:t>
      </w:r>
      <w:r>
        <w:t xml:space="preserve">, but still reflects a considerably weaker operating environment than a year ago. BLDR reported 2Q25 sales of $4.23B, adjusted EBITDA of $506M, and a 12.0% EBITDA margin.</w:t>
      </w:r>
    </w:p>
    <w:bookmarkEnd w:id="9"/>
    <w:bookmarkStart w:id="10" w:name="X00a436f7c3772f27adf1341dfce112b739b6b75"/>
    <w:p>
      <w:pPr>
        <w:pStyle w:val="Heading2"/>
      </w:pPr>
      <w:r>
        <w:t xml:space="preserve">The setup: weak end markets, but a seasonally stronger quarter</w:t>
      </w:r>
    </w:p>
    <w:p>
      <w:pPr>
        <w:pStyle w:val="FirstParagraph"/>
      </w:pPr>
      <w:r>
        <w:t xml:space="preserve">BLDR entered 2026 facing a difficult housing backdrop. In 1Q, sales fell 10.1% year over year, including an 8.3% decline in core organic sales. Single-family organic sales declined 11.1%, while multifamily and repair/remodel were both modestly lower. Gross margin contracted 220 bps to 28.3%, and adjusted EBITDA fell 42% to $214M.</w:t>
      </w:r>
    </w:p>
    <w:p>
      <w:pPr>
        <w:pStyle w:val="BodyText"/>
      </w:pPr>
      <w:r>
        <w:t xml:space="preserve">Management nevertheless said daily sales built through April in normal seasonal fashion and reiterated that the business should improve through the summer selling season. The challenge for investors is separating</w:t>
      </w:r>
      <w:r>
        <w:t xml:space="preserve"> </w:t>
      </w:r>
      <w:r>
        <w:rPr>
          <w:b/>
          <w:bCs/>
        </w:rPr>
        <w:t xml:space="preserve">ordinary seasonal improvement</w:t>
      </w:r>
      <w:r>
        <w:t xml:space="preserve"> </w:t>
      </w:r>
      <w:r>
        <w:t xml:space="preserve">from a genuine improvement in housing activity, pricing, and utilization.</w:t>
      </w:r>
    </w:p>
    <w:p>
      <w:pPr>
        <w:pStyle w:val="BodyText"/>
      </w:pPr>
      <w:r>
        <w:t xml:space="preserve">BLDR’s 2Q guide embeds roughly</w:t>
      </w:r>
      <w:r>
        <w:t xml:space="preserve"> </w:t>
      </w:r>
      <m:oMath>
        <m:r>
          <m:t>3.9</m:t>
        </m:r>
        <m:r>
          <m:t>B</m:t>
        </m:r>
        <m:r>
          <m:t>o</m:t>
        </m:r>
        <m:r>
          <m:t>f</m:t>
        </m:r>
        <m:r>
          <m:t>s</m:t>
        </m:r>
        <m:r>
          <m:t>a</m:t>
        </m:r>
        <m:r>
          <m:t>l</m:t>
        </m:r>
        <m:r>
          <m:t>e</m:t>
        </m:r>
        <m:r>
          <m:t>s</m:t>
        </m:r>
        <m:r>
          <m:rPr>
            <m:sty m:val="p"/>
          </m:rPr>
          <m:t>*</m:t>
        </m:r>
        <m:r>
          <m:rPr>
            <m:sty m:val="p"/>
          </m:rPr>
          <m:t>*</m:t>
        </m:r>
        <m:r>
          <m:t>a</m:t>
        </m:r>
        <m:r>
          <m:t>n</m:t>
        </m:r>
        <m:r>
          <m:t>d</m:t>
        </m:r>
        <m:r>
          <m:rPr>
            <m:sty m:val="p"/>
          </m:rPr>
          <m:t>*</m:t>
        </m:r>
        <m:r>
          <m:rPr>
            <m:sty m:val="p"/>
          </m:rPr>
          <m:t>*</m:t>
        </m:r>
      </m:oMath>
      <w:r>
        <w:rPr>
          <w:b/>
          <w:bCs/>
        </w:rPr>
        <w:t xml:space="preserve">325M of adjusted EBITDA</w:t>
      </w:r>
      <w:r>
        <w:t xml:space="preserve">, or an approximately</w:t>
      </w:r>
      <w:r>
        <w:t xml:space="preserve"> </w:t>
      </w:r>
      <w:r>
        <w:rPr>
          <w:b/>
          <w:bCs/>
        </w:rPr>
        <w:t xml:space="preserve">8.3% EBITDA margin</w:t>
      </w:r>
      <w:r>
        <w:t xml:space="preserve">. That would represent a healthy sequential step-up, but it remains well below the 12.0% margin earned in 2Q25.</w:t>
      </w:r>
    </w:p>
    <w:bookmarkEnd w:id="10"/>
    <w:bookmarkStart w:id="11" w:name="X1ff9e52f117389e80872d1e0c0ba34590aa77a3"/>
    <w:p>
      <w:pPr>
        <w:pStyle w:val="Heading2"/>
      </w:pPr>
      <w:r>
        <w:t xml:space="preserve">The key debate: can gross margins stabilize?</w:t>
      </w:r>
    </w:p>
    <w:p>
      <w:pPr>
        <w:pStyle w:val="FirstParagraph"/>
      </w:pPr>
      <w:r>
        <w:t xml:space="preserve">Margins are the most important swing factor in this report.</w:t>
      </w:r>
    </w:p>
    <w:p>
      <w:pPr>
        <w:pStyle w:val="BodyText"/>
      </w:pPr>
      <w:r>
        <w:t xml:space="preserve">In 1Q, management attributed the shortfall primarily to:</w:t>
      </w:r>
    </w:p>
    <w:p>
      <w:pPr>
        <w:pStyle w:val="Compact"/>
        <w:numPr>
          <w:ilvl w:val="0"/>
          <w:numId w:val="1001"/>
        </w:numPr>
      </w:pPr>
      <w:r>
        <w:t xml:space="preserve">A below-normal starts environment and weaker operating leverage;</w:t>
      </w:r>
    </w:p>
    <w:p>
      <w:pPr>
        <w:pStyle w:val="Compact"/>
        <w:numPr>
          <w:ilvl w:val="0"/>
          <w:numId w:val="1001"/>
        </w:numPr>
      </w:pPr>
      <w:r>
        <w:t xml:space="preserve">More intense competition, particularly in</w:t>
      </w:r>
      <w:r>
        <w:t xml:space="preserve"> </w:t>
      </w:r>
      <w:r>
        <w:rPr>
          <w:b/>
          <w:bCs/>
        </w:rPr>
        <w:t xml:space="preserve">specialty building products</w:t>
      </w:r>
      <w:r>
        <w:t xml:space="preserve">;</w:t>
      </w:r>
    </w:p>
    <w:p>
      <w:pPr>
        <w:pStyle w:val="Compact"/>
        <w:numPr>
          <w:ilvl w:val="0"/>
          <w:numId w:val="1001"/>
        </w:numPr>
      </w:pPr>
      <w:r>
        <w:t xml:space="preserve">Mix pressure from strategic bundling that can pull through lower-margin lumber and sheet goods;</w:t>
      </w:r>
    </w:p>
    <w:p>
      <w:pPr>
        <w:pStyle w:val="Compact"/>
        <w:numPr>
          <w:ilvl w:val="0"/>
          <w:numId w:val="1001"/>
        </w:numPr>
      </w:pPr>
      <w:r>
        <w:t xml:space="preserve">Input-cost inflation, especially fuel and logistics costs;</w:t>
      </w:r>
    </w:p>
    <w:p>
      <w:pPr>
        <w:pStyle w:val="Compact"/>
        <w:numPr>
          <w:ilvl w:val="0"/>
          <w:numId w:val="1001"/>
        </w:numPr>
      </w:pPr>
      <w:r>
        <w:t xml:space="preserve">A smaller and less complex “value per start” versus prior-cycle housing activity.</w:t>
      </w:r>
    </w:p>
    <w:p>
      <w:pPr>
        <w:pStyle w:val="FirstParagraph"/>
      </w:pPr>
      <w:r>
        <w:t xml:space="preserve">The encouraging point is that management described lumber and the core manufactured/value-added categories as comparatively more stable by the end of 1Q. The less encouraging point is that specialty categories—such as siding, roofing, gypsum, cement, and other “long-tail” products—had tightened faster than expected.</w:t>
      </w:r>
    </w:p>
    <w:p>
      <w:pPr>
        <w:pStyle w:val="BodyText"/>
      </w:pPr>
      <w:r>
        <w:rPr>
          <w:b/>
          <w:bCs/>
        </w:rPr>
        <w:t xml:space="preserve">For 2Q, investors should focus on whether BLDR says:</w:t>
      </w:r>
    </w:p>
    <w:p>
      <w:pPr>
        <w:pStyle w:val="Compact"/>
        <w:numPr>
          <w:ilvl w:val="0"/>
          <w:numId w:val="1002"/>
        </w:numPr>
      </w:pPr>
      <w:r>
        <w:t xml:space="preserve">Specialty-product pricing has stopped deteriorating;</w:t>
      </w:r>
    </w:p>
    <w:p>
      <w:pPr>
        <w:pStyle w:val="Compact"/>
        <w:numPr>
          <w:ilvl w:val="0"/>
          <w:numId w:val="1002"/>
        </w:numPr>
      </w:pPr>
      <w:r>
        <w:t xml:space="preserve">Fuel and freight costs are being passed through without a material margin lag;</w:t>
      </w:r>
    </w:p>
    <w:p>
      <w:pPr>
        <w:pStyle w:val="Compact"/>
        <w:numPr>
          <w:ilvl w:val="0"/>
          <w:numId w:val="1002"/>
        </w:numPr>
      </w:pPr>
      <w:r>
        <w:t xml:space="preserve">Manufactured components, engineered wood, trusses, windows, doors, millwork, and installation are retaining relative profitability;</w:t>
      </w:r>
    </w:p>
    <w:p>
      <w:pPr>
        <w:pStyle w:val="Compact"/>
        <w:numPr>
          <w:ilvl w:val="0"/>
          <w:numId w:val="1002"/>
        </w:numPr>
      </w:pPr>
      <w:r>
        <w:t xml:space="preserve">Facility consolidations and labor actions are improving utilization and fixed-cost absorption.</w:t>
      </w:r>
    </w:p>
    <w:p>
      <w:pPr>
        <w:pStyle w:val="FirstParagraph"/>
      </w:pPr>
      <w:r>
        <w:t xml:space="preserve">A result near the upper end of EBITDA guidance with constructive margin commentary would support the view that 1Q marked the low point. A result within the sales range but toward the low end of EBITDA would signal that pricing and product-mix pressure remain unresolved.</w:t>
      </w:r>
    </w:p>
    <w:bookmarkEnd w:id="11"/>
    <w:bookmarkStart w:id="12" w:name="X2bd9d776128f1d9666e77abbb6391029465965d"/>
    <w:p>
      <w:pPr>
        <w:pStyle w:val="Heading2"/>
      </w:pPr>
      <w:r>
        <w:t xml:space="preserve">Full-year guidance is likely the real catalyst</w:t>
      </w:r>
    </w:p>
    <w:p>
      <w:pPr>
        <w:pStyle w:val="FirstParagraph"/>
      </w:pPr>
      <w:r>
        <w:t xml:space="preserve">BLDR’s current 2026 outlook calls for:</w:t>
      </w:r>
    </w:p>
    <w:p>
      <w:pPr>
        <w:pStyle w:val="Compact"/>
        <w:numPr>
          <w:ilvl w:val="0"/>
          <w:numId w:val="1003"/>
        </w:numPr>
      </w:pPr>
      <w:r>
        <w:rPr>
          <w:b/>
          <w:bCs/>
        </w:rPr>
        <w:t xml:space="preserve">Sales:</w:t>
      </w:r>
      <w:r>
        <w:t xml:space="preserve"> </w:t>
      </w:r>
      <m:oMath>
        <m:r>
          <m:t>14.6</m:t>
        </m:r>
        <m:r>
          <m:t>B</m:t>
        </m:r>
        <m:r>
          <m:rPr>
            <m:sty m:val="p"/>
          </m:rPr>
          <m:t>–</m:t>
        </m:r>
      </m:oMath>
      <w:r>
        <w:t xml:space="preserve">15.6B</w:t>
      </w:r>
    </w:p>
    <w:p>
      <w:pPr>
        <w:pStyle w:val="Compact"/>
        <w:numPr>
          <w:ilvl w:val="0"/>
          <w:numId w:val="1003"/>
        </w:numPr>
      </w:pPr>
      <w:r>
        <w:rPr>
          <w:b/>
          <w:bCs/>
        </w:rPr>
        <w:t xml:space="preserve">Gross margin:</w:t>
      </w:r>
      <w:r>
        <w:t xml:space="preserve"> </w:t>
      </w:r>
      <w:r>
        <w:t xml:space="preserve">27.5%–29.0%</w:t>
      </w:r>
    </w:p>
    <w:p>
      <w:pPr>
        <w:pStyle w:val="Compact"/>
        <w:numPr>
          <w:ilvl w:val="0"/>
          <w:numId w:val="1003"/>
        </w:numPr>
      </w:pPr>
      <w:r>
        <w:rPr>
          <w:b/>
          <w:bCs/>
        </w:rPr>
        <w:t xml:space="preserve">Adjusted EBITDA:</w:t>
      </w:r>
      <w:r>
        <w:t xml:space="preserve"> </w:t>
      </w:r>
      <m:oMath>
        <m:r>
          <m:t>1.1</m:t>
        </m:r>
        <m:r>
          <m:t>B</m:t>
        </m:r>
        <m:r>
          <m:rPr>
            <m:sty m:val="p"/>
          </m:rPr>
          <m:t>–</m:t>
        </m:r>
      </m:oMath>
      <w:r>
        <w:t xml:space="preserve">1.5B</w:t>
      </w:r>
    </w:p>
    <w:p>
      <w:pPr>
        <w:pStyle w:val="Compact"/>
        <w:numPr>
          <w:ilvl w:val="0"/>
          <w:numId w:val="1003"/>
        </w:numPr>
      </w:pPr>
      <w:r>
        <w:rPr>
          <w:b/>
          <w:bCs/>
        </w:rPr>
        <w:t xml:space="preserve">Free cash flow:</w:t>
      </w:r>
      <w:r>
        <w:t xml:space="preserve"> </w:t>
      </w:r>
      <w:r>
        <w:t xml:space="preserve">approximately</w:t>
      </w:r>
      <w:r>
        <w:t xml:space="preserve"> </w:t>
      </w:r>
      <m:oMath>
        <m:r>
          <m:t>400</m:t>
        </m:r>
        <m:r>
          <m:t>M</m:t>
        </m:r>
        <m:r>
          <m:rPr>
            <m:sty m:val="p"/>
          </m:rPr>
          <m:t>–</m:t>
        </m:r>
      </m:oMath>
      <w:r>
        <w:t xml:space="preserve">500M</w:t>
      </w:r>
    </w:p>
    <w:p>
      <w:pPr>
        <w:pStyle w:val="FirstParagraph"/>
      </w:pPr>
      <w:r>
        <w:t xml:space="preserve">The midpoint implies a material second-half recovery. Using 1Q actual results and the midpoint of 2Q guidance, BLDR would need roughly</w:t>
      </w:r>
      <w:r>
        <w:t xml:space="preserve"> </w:t>
      </w:r>
      <m:oMath>
        <m:r>
          <m:t>7.9</m:t>
        </m:r>
        <m:r>
          <m:t>B</m:t>
        </m:r>
        <m:r>
          <m:t>o</m:t>
        </m:r>
        <m:r>
          <m:t>f</m:t>
        </m:r>
        <m:r>
          <m:t>s</m:t>
        </m:r>
        <m:r>
          <m:t>e</m:t>
        </m:r>
        <m:r>
          <m:t>c</m:t>
        </m:r>
        <m:r>
          <m:t>o</m:t>
        </m:r>
        <m:r>
          <m:t>n</m:t>
        </m:r>
        <m:r>
          <m:t>d</m:t>
        </m:r>
        <m:r>
          <m:rPr>
            <m:sty m:val="p"/>
          </m:rPr>
          <m:t>−</m:t>
        </m:r>
        <m:r>
          <m:t>h</m:t>
        </m:r>
        <m:r>
          <m:t>a</m:t>
        </m:r>
        <m:r>
          <m:t>l</m:t>
        </m:r>
        <m:r>
          <m:t>f</m:t>
        </m:r>
        <m:r>
          <m:t>s</m:t>
        </m:r>
        <m:r>
          <m:t>a</m:t>
        </m:r>
        <m:r>
          <m:t>l</m:t>
        </m:r>
        <m:r>
          <m:t>e</m:t>
        </m:r>
        <m:r>
          <m:t>s</m:t>
        </m:r>
        <m:r>
          <m:rPr>
            <m:sty m:val="p"/>
          </m:rPr>
          <m:t>*</m:t>
        </m:r>
        <m:r>
          <m:rPr>
            <m:sty m:val="p"/>
          </m:rPr>
          <m:t>*</m:t>
        </m:r>
        <m:r>
          <m:t>a</m:t>
        </m:r>
        <m:r>
          <m:t>n</m:t>
        </m:r>
        <m:r>
          <m:t>d</m:t>
        </m:r>
        <m:r>
          <m:rPr>
            <m:sty m:val="p"/>
          </m:rPr>
          <m:t>*</m:t>
        </m:r>
        <m:r>
          <m:rPr>
            <m:sty m:val="p"/>
          </m:rPr>
          <m:t>*</m:t>
        </m:r>
      </m:oMath>
      <w:r>
        <w:rPr>
          <w:b/>
          <w:bCs/>
        </w:rPr>
        <w:t xml:space="preserve">761M of second-half adjusted EBITDA</w:t>
      </w:r>
      <w:r>
        <w:t xml:space="preserve">, equating to an implied</w:t>
      </w:r>
      <w:r>
        <w:t xml:space="preserve"> </w:t>
      </w:r>
      <w:r>
        <w:rPr>
          <w:b/>
          <w:bCs/>
        </w:rPr>
        <w:t xml:space="preserve">~9.6% second-half EBITDA margin</w:t>
      </w:r>
      <w:r>
        <w:t xml:space="preserve">. That means about</w:t>
      </w:r>
      <w:r>
        <w:t xml:space="preserve"> </w:t>
      </w:r>
      <w:r>
        <w:rPr>
          <w:b/>
          <w:bCs/>
        </w:rPr>
        <w:t xml:space="preserve">59% of full-year midpoint EBITDA</w:t>
      </w:r>
      <w:r>
        <w:t xml:space="preserve"> </w:t>
      </w:r>
      <w:r>
        <w:t xml:space="preserve">is expected in the back half.</w:t>
      </w:r>
    </w:p>
    <w:p>
      <w:pPr>
        <w:pStyle w:val="BodyText"/>
      </w:pPr>
      <w:r>
        <w:t xml:space="preserve">That makes the outlook especially important:</w:t>
      </w:r>
    </w:p>
    <w:p>
      <w:pPr>
        <w:pStyle w:val="Compact"/>
        <w:numPr>
          <w:ilvl w:val="0"/>
          <w:numId w:val="1004"/>
        </w:numPr>
      </w:pPr>
      <w:r>
        <w:rPr>
          <w:b/>
          <w:bCs/>
        </w:rPr>
        <w:t xml:space="preserve">Bullish outcome:</w:t>
      </w:r>
      <w:r>
        <w:t xml:space="preserve"> </w:t>
      </w:r>
      <w:r>
        <w:t xml:space="preserve">Management maintains the full-year range, expresses confidence in a stronger 2H, and indicates that gross-margin pressure is moderating.</w:t>
      </w:r>
    </w:p>
    <w:p>
      <w:pPr>
        <w:pStyle w:val="Compact"/>
        <w:numPr>
          <w:ilvl w:val="0"/>
          <w:numId w:val="1004"/>
        </w:numPr>
      </w:pPr>
      <w:r>
        <w:rPr>
          <w:b/>
          <w:bCs/>
        </w:rPr>
        <w:t xml:space="preserve">Bearish outcome:</w:t>
      </w:r>
      <w:r>
        <w:t xml:space="preserve"> </w:t>
      </w:r>
      <w:r>
        <w:t xml:space="preserve">Management trims sales, margin, EBITDA, or free-cash-flow guidance—or keeps the range but shifts its framing toward the lower half. That would challenge the assumption that normal seasonal volume, cost actions, and improving comparisons can drive the expected second-half rebound.</w:t>
      </w:r>
    </w:p>
    <w:bookmarkEnd w:id="12"/>
    <w:bookmarkStart w:id="13" w:name="X01f0d4bb6f56e60fbc06bd79b2c2901060b1065"/>
    <w:p>
      <w:pPr>
        <w:pStyle w:val="Heading2"/>
      </w:pPr>
      <w:r>
        <w:t xml:space="preserve">Cost actions and share gains: the offset to weak housing</w:t>
      </w:r>
    </w:p>
    <w:p>
      <w:pPr>
        <w:pStyle w:val="FirstParagraph"/>
      </w:pPr>
      <w:r>
        <w:t xml:space="preserve">Management has announced</w:t>
      </w:r>
      <w:r>
        <w:t xml:space="preserve"> </w:t>
      </w:r>
      <w:r>
        <w:rPr>
          <w:b/>
          <w:bCs/>
        </w:rPr>
        <w:t xml:space="preserve">$100M of 2026 cost actions</w:t>
      </w:r>
      <w:r>
        <w:t xml:space="preserve">, comprising $75M of year-over-year reductions and $25M of avoided costs. These actions include lower overtime and temporary labor, compensation-plan changes, lower overhead and discretionary spending, and additional facility consolidations. BLDR had consolidated 21 facilities during early 2026, after 55 over the previous two years.</w:t>
      </w:r>
    </w:p>
    <w:p>
      <w:pPr>
        <w:pStyle w:val="BodyText"/>
      </w:pPr>
      <w:r>
        <w:t xml:space="preserve">The company is also pursuing “strategic share gains” by bundling its broad portfolio—lumber, trusses, millwork, windows, and related products—into affordability-oriented solutions for builders. This can improve customer stickiness and support volume, but may create a near-term mix headwind if more lower-margin commodity products are included.</w:t>
      </w:r>
    </w:p>
    <w:p>
      <w:pPr>
        <w:pStyle w:val="BodyText"/>
      </w:pPr>
      <w:r>
        <w:t xml:space="preserve">The earnings call should clarify whether the strategy is producing:</w:t>
      </w:r>
    </w:p>
    <w:p>
      <w:pPr>
        <w:pStyle w:val="Compact"/>
        <w:numPr>
          <w:ilvl w:val="0"/>
          <w:numId w:val="1005"/>
        </w:numPr>
      </w:pPr>
      <w:r>
        <w:t xml:space="preserve">Measurable share gains;</w:t>
      </w:r>
    </w:p>
    <w:p>
      <w:pPr>
        <w:pStyle w:val="Compact"/>
        <w:numPr>
          <w:ilvl w:val="0"/>
          <w:numId w:val="1005"/>
        </w:numPr>
      </w:pPr>
      <w:r>
        <w:t xml:space="preserve">Better utilization at manufacturing facilities;</w:t>
      </w:r>
    </w:p>
    <w:p>
      <w:pPr>
        <w:pStyle w:val="Compact"/>
        <w:numPr>
          <w:ilvl w:val="0"/>
          <w:numId w:val="1005"/>
        </w:numPr>
      </w:pPr>
      <w:r>
        <w:t xml:space="preserve">Higher value-added product adoption; and</w:t>
      </w:r>
    </w:p>
    <w:p>
      <w:pPr>
        <w:pStyle w:val="Compact"/>
        <w:numPr>
          <w:ilvl w:val="0"/>
          <w:numId w:val="1005"/>
        </w:numPr>
      </w:pPr>
      <w:r>
        <w:t xml:space="preserve">Gross-profit-dollar growth that offsets a lower percentage margin.</w:t>
      </w:r>
    </w:p>
    <w:bookmarkEnd w:id="13"/>
    <w:bookmarkStart w:id="14" w:name="balance-sheet-and-capital-allocation"/>
    <w:p>
      <w:pPr>
        <w:pStyle w:val="Heading2"/>
      </w:pPr>
      <w:r>
        <w:t xml:space="preserve">Balance sheet and capital allocation</w:t>
      </w:r>
    </w:p>
    <w:p>
      <w:pPr>
        <w:pStyle w:val="FirstParagraph"/>
      </w:pPr>
      <w:r>
        <w:t xml:space="preserve">BLDR ended 1Q with approximately</w:t>
      </w:r>
      <w:r>
        <w:t xml:space="preserve"> </w:t>
      </w:r>
      <w:r>
        <w:rPr>
          <w:b/>
          <w:bCs/>
        </w:rPr>
        <w:t xml:space="preserve">$1.5B of liquidity</w:t>
      </w:r>
      <w:r>
        <w:t xml:space="preserve">, but net leverage rose to</w:t>
      </w:r>
      <w:r>
        <w:t xml:space="preserve"> </w:t>
      </w:r>
      <w:r>
        <w:rPr>
          <w:b/>
          <w:bCs/>
        </w:rPr>
        <w:t xml:space="preserve">3.2x LTM adjusted EBITDA</w:t>
      </w:r>
      <w:r>
        <w:t xml:space="preserve">, above management’s stated long-term comfort range of roughly 1x–2x. The increase largely reflects lower trailing EBITDA rather than a sudden debt build, although the company did have approximately $4.6B of net debt.</w:t>
      </w:r>
    </w:p>
    <w:p>
      <w:pPr>
        <w:pStyle w:val="BodyText"/>
      </w:pPr>
      <w:r>
        <w:t xml:space="preserve">Despite that leverage, BLDR repurchased</w:t>
      </w:r>
      <w:r>
        <w:t xml:space="preserve"> </w:t>
      </w:r>
      <w:r>
        <w:rPr>
          <w:b/>
          <w:bCs/>
        </w:rPr>
        <w:t xml:space="preserve">$303M of stock</w:t>
      </w:r>
      <w:r>
        <w:t xml:space="preserve"> </w:t>
      </w:r>
      <w:r>
        <w:t xml:space="preserve">in 1Q at an average price of $92.25 and received a new $500M authorization. This remains a two-sided issue:</w:t>
      </w:r>
    </w:p>
    <w:p>
      <w:pPr>
        <w:pStyle w:val="Compact"/>
        <w:numPr>
          <w:ilvl w:val="0"/>
          <w:numId w:val="1006"/>
        </w:numPr>
      </w:pPr>
      <w:r>
        <w:rPr>
          <w:b/>
          <w:bCs/>
        </w:rPr>
        <w:t xml:space="preserve">Positive:</w:t>
      </w:r>
      <w:r>
        <w:t xml:space="preserve"> </w:t>
      </w:r>
      <w:r>
        <w:t xml:space="preserve">Share repurchases materially reduce the share count; since August 2021, BLDR has repurchased nearly half of its then-outstanding shares.</w:t>
      </w:r>
    </w:p>
    <w:p>
      <w:pPr>
        <w:pStyle w:val="Compact"/>
        <w:numPr>
          <w:ilvl w:val="0"/>
          <w:numId w:val="1006"/>
        </w:numPr>
      </w:pPr>
      <w:r>
        <w:rPr>
          <w:b/>
          <w:bCs/>
        </w:rPr>
        <w:t xml:space="preserve">Risk:</w:t>
      </w:r>
      <w:r>
        <w:t xml:space="preserve"> </w:t>
      </w:r>
      <w:r>
        <w:t xml:space="preserve">Continuing aggressive buybacks while profitability is resetting lower increases sensitivity to any further reduction in EBITDA or free-cash-flow guidance.</w:t>
      </w:r>
    </w:p>
    <w:p>
      <w:pPr>
        <w:pStyle w:val="FirstParagraph"/>
      </w:pPr>
      <w:r>
        <w:t xml:space="preserve">At the July 29 close of</w:t>
      </w:r>
      <w:r>
        <w:t xml:space="preserve"> </w:t>
      </w:r>
      <w:r>
        <w:rPr>
          <w:b/>
          <w:bCs/>
        </w:rPr>
        <w:t xml:space="preserve">$69.72</w:t>
      </w:r>
      <w:r>
        <w:t xml:space="preserve">, BLDR was down roughly</w:t>
      </w:r>
      <w:r>
        <w:t xml:space="preserve"> </w:t>
      </w:r>
      <w:r>
        <w:rPr>
          <w:b/>
          <w:bCs/>
        </w:rPr>
        <w:t xml:space="preserve">11.8% since its April 30, 2026 earnings-day close</w:t>
      </w:r>
      <w:r>
        <w:t xml:space="preserve"> </w:t>
      </w:r>
      <w:r>
        <w:t xml:space="preserve">and approximately</w:t>
      </w:r>
      <w:r>
        <w:t xml:space="preserve"> </w:t>
      </w:r>
      <w:r>
        <w:rPr>
          <w:b/>
          <w:bCs/>
        </w:rPr>
        <w:t xml:space="preserve">16.4% from the April 29 pre-report close</w:t>
      </w:r>
      <w:r>
        <w:t xml:space="preserve">, suggesting investors have already discounted a meaningful portion of the weaker housing/margin narrative.</w:t>
      </w:r>
    </w:p>
    <w:bookmarkEnd w:id="14"/>
    <w:bookmarkStart w:id="15" w:name="what-matters-most-on-the-call"/>
    <w:p>
      <w:pPr>
        <w:pStyle w:val="Heading2"/>
      </w:pPr>
      <w:r>
        <w:t xml:space="preserve">What matters most on the call</w:t>
      </w:r>
    </w:p>
    <w:p>
      <w:pPr>
        <w:numPr>
          <w:ilvl w:val="0"/>
          <w:numId w:val="1007"/>
        </w:numPr>
      </w:pPr>
      <w:r>
        <w:rPr>
          <w:b/>
          <w:bCs/>
        </w:rPr>
        <w:t xml:space="preserve">2Q EBITDA margin versus the guided 8.0%–8.6% range.</w:t>
      </w:r>
      <w:r>
        <w:br/>
      </w:r>
      <w:r>
        <w:t xml:space="preserve">Margin performance matters more than a modest sales beat or miss.</w:t>
      </w:r>
    </w:p>
    <w:p>
      <w:pPr>
        <w:numPr>
          <w:ilvl w:val="0"/>
          <w:numId w:val="1007"/>
        </w:numPr>
      </w:pPr>
      <w:r>
        <w:rPr>
          <w:b/>
          <w:bCs/>
        </w:rPr>
        <w:t xml:space="preserve">Full-year guidance—especially the EBITDA and gross-margin ranges.</w:t>
      </w:r>
      <w:r>
        <w:br/>
      </w:r>
      <w:r>
        <w:t xml:space="preserve">Confirmation of the current outlook would validate the anticipated 2H recovery; a reduction would likely dominate the market reaction.</w:t>
      </w:r>
    </w:p>
    <w:p>
      <w:pPr>
        <w:numPr>
          <w:ilvl w:val="0"/>
          <w:numId w:val="1007"/>
        </w:numPr>
      </w:pPr>
      <w:r>
        <w:rPr>
          <w:b/>
          <w:bCs/>
        </w:rPr>
        <w:t xml:space="preserve">Commentary on July demand and private-builder activity.</w:t>
      </w:r>
      <w:r>
        <w:br/>
      </w:r>
      <w:r>
        <w:t xml:space="preserve">BLDR has meaningful exposure beyond large public builders. Investors will want evidence that small/private customers are not deferring starts further.</w:t>
      </w:r>
    </w:p>
    <w:p>
      <w:pPr>
        <w:numPr>
          <w:ilvl w:val="0"/>
          <w:numId w:val="1007"/>
        </w:numPr>
      </w:pPr>
      <w:r>
        <w:rPr>
          <w:b/>
          <w:bCs/>
        </w:rPr>
        <w:t xml:space="preserve">Specialty-product margin, price/cost, and freight trends.</w:t>
      </w:r>
      <w:r>
        <w:br/>
      </w:r>
      <w:r>
        <w:t xml:space="preserve">These were the principal unexpected 1Q issues.</w:t>
      </w:r>
    </w:p>
    <w:p>
      <w:pPr>
        <w:numPr>
          <w:ilvl w:val="0"/>
          <w:numId w:val="1007"/>
        </w:numPr>
      </w:pPr>
      <w:r>
        <w:rPr>
          <w:b/>
          <w:bCs/>
        </w:rPr>
        <w:t xml:space="preserve">Execution on cost savings and facility rationalization.</w:t>
      </w:r>
      <w:r>
        <w:br/>
      </w:r>
      <w:r>
        <w:t xml:space="preserve">Progress against the $100M cost program is necessary to support second-half operating leverage.</w:t>
      </w:r>
    </w:p>
    <w:p>
      <w:pPr>
        <w:numPr>
          <w:ilvl w:val="0"/>
          <w:numId w:val="1007"/>
        </w:numPr>
      </w:pPr>
      <w:r>
        <w:rPr>
          <w:b/>
          <w:bCs/>
        </w:rPr>
        <w:t xml:space="preserve">Capital allocation discipline.</w:t>
      </w:r>
      <w:r>
        <w:br/>
      </w:r>
      <w:r>
        <w:t xml:space="preserve">Watch for the balance among buybacks, M&amp;A, capex, free cash flow, and leverage.</w:t>
      </w:r>
    </w:p>
    <w:bookmarkEnd w:id="15"/>
    <w:bookmarkStart w:id="16" w:name="bottom-line"/>
    <w:p>
      <w:pPr>
        <w:pStyle w:val="Heading2"/>
      </w:pPr>
      <w:r>
        <w:t xml:space="preserve">Bottom line</w:t>
      </w:r>
    </w:p>
    <w:p>
      <w:pPr>
        <w:pStyle w:val="FirstParagraph"/>
      </w:pPr>
      <w:r>
        <w:t xml:space="preserve">BLDR is a cyclical recovery and execution story going into 2Q. The company’s scale, value-added manufacturing footprint, installation capabilities, digital initiatives, and share-repurchase program can create substantial earnings leverage when housing normalizes. But the near-term investment case hinges on whether the company can stop margin erosion before end-market volumes recover.</w:t>
      </w:r>
    </w:p>
    <w:p>
      <w:pPr>
        <w:pStyle w:val="BodyText"/>
      </w:pPr>
      <w:r>
        <w:rPr>
          <w:b/>
          <w:bCs/>
        </w:rPr>
        <w:t xml:space="preserve">A constructive report</w:t>
      </w:r>
      <w:r>
        <w:t xml:space="preserve"> </w:t>
      </w:r>
      <w:r>
        <w:t xml:space="preserve">would feature EBITDA near the high end of guidance, evidence that specialty margins have stabilized, tangible cost-savings progress, and maintained full-year guidance.</w:t>
      </w:r>
      <w:r>
        <w:br/>
      </w:r>
      <w:r>
        <w:rPr>
          <w:b/>
          <w:bCs/>
        </w:rPr>
        <w:t xml:space="preserve">A disappointing report</w:t>
      </w:r>
      <w:r>
        <w:t xml:space="preserve"> </w:t>
      </w:r>
      <w:r>
        <w:t xml:space="preserve">would likely involve lower-than-expected margin conversion, continued competitive pricing in specialty categories, weaker commentary on private builders or starts, and a reduced confidence level around the second-half recovery embedded in the 2026 outlook.</w:t>
      </w:r>
    </w:p>
    <w:bookmarkEnd w:id="16"/>
    <w:bookmarkEnd w:id="1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2026-07-29T18:34:43Z</dcterms:created>
  <dcterms:modified xsi:type="dcterms:W3CDTF">2026-07-29T18:34:43Z</dcterms:modified>
</cp:coreProperties>
</file>

<file path=docProps/custom.xml><?xml version="1.0" encoding="utf-8"?>
<Properties xmlns="http://schemas.openxmlformats.org/officeDocument/2006/custom-properties" xmlns:vt="http://schemas.openxmlformats.org/officeDocument/2006/docPropsVTypes"/>
</file>