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Builders FirstSource, Inc. (BLDR)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Builders FirstSource, Inc.</w:t>
            </w:r>
          </w:p>
        </w:tc>
      </w:tr>
      <w:tr>
        <w:tc>
          <w:tcPr>
            <w:tcW w:type="dxa" w:w="4320"/>
          </w:tcPr>
          <w:p>
            <w:r>
              <w:rPr>
                <w:rFonts w:ascii="Calibri" w:hAnsi="Calibri"/>
                <w:b/>
                <w:sz w:val="22"/>
              </w:rPr>
              <w:t>Ticker</w:t>
            </w:r>
          </w:p>
        </w:tc>
        <w:tc>
          <w:tcPr>
            <w:tcW w:type="dxa" w:w="4320"/>
          </w:tcPr>
          <w:p>
            <w:r>
              <w:rPr>
                <w:rFonts w:ascii="Calibri" w:hAnsi="Calibri"/>
                <w:sz w:val="22"/>
              </w:rPr>
              <w:t>NYSE: BLDR</w:t>
            </w:r>
          </w:p>
        </w:tc>
      </w:tr>
      <w:tr>
        <w:tc>
          <w:tcPr>
            <w:tcW w:type="dxa" w:w="4320"/>
          </w:tcPr>
          <w:p>
            <w:r>
              <w:rPr>
                <w:rFonts w:ascii="Calibri" w:hAnsi="Calibri"/>
                <w:b/>
                <w:sz w:val="22"/>
              </w:rPr>
              <w:t>Upcoming Earnings Date</w:t>
            </w:r>
          </w:p>
        </w:tc>
        <w:tc>
          <w:tcPr>
            <w:tcW w:type="dxa" w:w="4320"/>
          </w:tcPr>
          <w:p>
            <w:r>
              <w:rPr>
                <w:rFonts w:ascii="Calibri" w:hAnsi="Calibri"/>
                <w:sz w:val="22"/>
              </w:rPr>
              <w:t>July 30, 2026 —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Q1 2026 — April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skewed to the downside — consensus sits near the top of management’s own Q2 guidance range and the Zacks Earnings ESP is −8.7%, with the single biggest swing factor being whether specialty product margin pressure has stabilized or continues to surprise to the downside.</w:t>
      </w:r>
    </w:p>
    <w:p>
      <w:r>
        <w:rPr>
          <w:rFonts w:ascii="Calibri" w:hAnsi="Calibri"/>
          <w:color w:val="525866"/>
          <w:sz w:val="22"/>
        </w:rPr>
        <w:t>Heading into the Q2 2026 print, the bar is not obviously low: consensus revenue of ~$3.92B sits comfortably within management’s $3.75B–$4.05B guidance range, and consensus adjusted EBITDA of ~$332M is just above the $300M–$350M guided range midpoint, leaving limited room for a positive surprise. Management’s tone on the Q1 call was notably cautious — they revised full-year starts assumptions from flat to down ~2.5% for both single-family and multifamily, pushed meaningful multifamily improvement to 2027, and widened the full-year EBITDA guidance range to $1.1B–$1.5B, signaling genuine uncertainty. Estimate revisions have drifted modestly lower since the Q1 print (Q2 EPS consensus moved from ~$1.32 to ~$1.23–$1.29), consistent with the cautious tone but not yet pricing in a worst-case scenario. The stock has declined ~14% since the April 30 earnings day close and is down ~43% over the past 52 weeks, meaningfully underperforming both XHB and the S&amp;P 500 — the multiple has compressed but the stock has not yet priced in a recovery, suggesting the market is in “wait and see” mode. The key wildcard is specialty product margin trajectory: Q1 gross margin of 28.3% was already at the low end of the full-year 27.5%–29.0% guidance range, and any further deterioration in siding, roofing, gypsum, or cement pricing — compounded by fuel/input cost pass-through timing — could push Q2 EBITDA below the $300M floor of guidance and trigger another round of estimate cuts.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revenue is achievable within guidance but adjusted EBITDA is the bigger swing factor, as gross margin trajectory (particularly specialty products) will determine whether the company can hit even the low end of its $300M–$350M Q2 EBITDA range.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Net Sales ($B)</w:t>
            </w:r>
          </w:p>
        </w:tc>
        <w:tc>
          <w:tcPr>
            <w:tcW w:type="dxa" w:w="1234"/>
          </w:tcPr>
          <w:p>
            <w:r>
              <w:rPr>
                <w:rFonts w:ascii="Calibri" w:hAnsi="Calibri"/>
                <w:sz w:val="22"/>
              </w:rPr>
              <w:t>$3.29B</w:t>
            </w:r>
          </w:p>
        </w:tc>
        <w:tc>
          <w:tcPr>
            <w:tcW w:type="dxa" w:w="1234"/>
          </w:tcPr>
          <w:p>
            <w:r>
              <w:rPr>
                <w:rFonts w:ascii="Calibri" w:hAnsi="Calibri"/>
                <w:sz w:val="22"/>
              </w:rPr>
              <w:t>$4.23B</w:t>
            </w:r>
          </w:p>
        </w:tc>
        <w:tc>
          <w:tcPr>
            <w:tcW w:type="dxa" w:w="1234"/>
          </w:tcPr>
          <w:p>
            <w:r>
              <w:rPr>
                <w:rFonts w:ascii="Calibri" w:hAnsi="Calibri"/>
                <w:sz w:val="22"/>
              </w:rPr>
              <w:t>$3.92B</w:t>
            </w:r>
          </w:p>
        </w:tc>
        <w:tc>
          <w:tcPr>
            <w:tcW w:type="dxa" w:w="1234"/>
          </w:tcPr>
          <w:p>
            <w:r>
              <w:rPr>
                <w:rFonts w:ascii="Calibri" w:hAnsi="Calibri"/>
                <w:b/>
                <w:color w:val="E5484D"/>
                <w:sz w:val="22"/>
              </w:rPr>
              <w:t>−7.4%</w:t>
            </w:r>
          </w:p>
        </w:tc>
        <w:tc>
          <w:tcPr>
            <w:tcW w:type="dxa" w:w="1234"/>
          </w:tcPr>
          <w:p>
            <w:r>
              <w:rPr>
                <w:rFonts w:ascii="Calibri" w:hAnsi="Calibri"/>
                <w:sz w:val="22"/>
              </w:rPr>
              <w:t>$3.75B–$4.05B</w:t>
            </w:r>
          </w:p>
        </w:tc>
        <w:tc>
          <w:tcPr>
            <w:tcW w:type="dxa" w:w="1234"/>
          </w:tcPr>
          <w:p>
            <w:r>
              <w:rPr>
                <w:rFonts w:ascii="Calibri" w:hAnsi="Calibri"/>
                <w:sz w:val="22"/>
              </w:rPr>
              <w:t>−0.5%</w:t>
            </w:r>
          </w:p>
        </w:tc>
      </w:tr>
      <w:tr>
        <w:tc>
          <w:tcPr>
            <w:tcW w:type="dxa" w:w="1234"/>
          </w:tcPr>
          <w:p>
            <w:r>
              <w:rPr>
                <w:rFonts w:ascii="Calibri" w:hAnsi="Calibri"/>
                <w:sz w:val="22"/>
              </w:rPr>
              <w:t>Gross Profit ($B)</w:t>
            </w:r>
          </w:p>
        </w:tc>
        <w:tc>
          <w:tcPr>
            <w:tcW w:type="dxa" w:w="1234"/>
          </w:tcPr>
          <w:p>
            <w:r>
              <w:rPr>
                <w:rFonts w:ascii="Calibri" w:hAnsi="Calibri"/>
                <w:sz w:val="22"/>
              </w:rPr>
              <w:t>$0.93B</w:t>
            </w:r>
          </w:p>
        </w:tc>
        <w:tc>
          <w:tcPr>
            <w:tcW w:type="dxa" w:w="1234"/>
          </w:tcPr>
          <w:p>
            <w:r>
              <w:rPr>
                <w:rFonts w:ascii="Calibri" w:hAnsi="Calibri"/>
                <w:sz w:val="22"/>
              </w:rPr>
              <w:t>$1.30B</w:t>
            </w:r>
          </w:p>
        </w:tc>
        <w:tc>
          <w:tcPr>
            <w:tcW w:type="dxa" w:w="1234"/>
          </w:tcPr>
          <w:p>
            <w:r>
              <w:rPr>
                <w:rFonts w:ascii="Calibri" w:hAnsi="Calibri"/>
                <w:sz w:val="22"/>
              </w:rPr>
              <w:t>$1.11B</w:t>
            </w:r>
          </w:p>
        </w:tc>
        <w:tc>
          <w:tcPr>
            <w:tcW w:type="dxa" w:w="1234"/>
          </w:tcPr>
          <w:p>
            <w:r>
              <w:rPr>
                <w:rFonts w:ascii="Calibri" w:hAnsi="Calibri"/>
                <w:b/>
                <w:color w:val="E5484D"/>
                <w:sz w:val="22"/>
              </w:rPr>
              <w:t>−14.8%</w:t>
            </w:r>
          </w:p>
        </w:tc>
        <w:tc>
          <w:tcPr>
            <w:tcW w:type="dxa" w:w="1234"/>
          </w:tcPr>
          <w:p>
            <w:r>
              <w:rPr>
                <w:rFonts w:ascii="Calibri" w:hAnsi="Calibri"/>
                <w:sz w:val="22"/>
              </w:rPr>
              <w:t>N/A (implied by margin guide)</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$213.8M</w:t>
            </w:r>
          </w:p>
        </w:tc>
        <w:tc>
          <w:tcPr>
            <w:tcW w:type="dxa" w:w="1234"/>
          </w:tcPr>
          <w:p>
            <w:r>
              <w:rPr>
                <w:rFonts w:ascii="Calibri" w:hAnsi="Calibri"/>
                <w:sz w:val="22"/>
              </w:rPr>
              <w:t>$506.1M</w:t>
            </w:r>
          </w:p>
        </w:tc>
        <w:tc>
          <w:tcPr>
            <w:tcW w:type="dxa" w:w="1234"/>
          </w:tcPr>
          <w:p>
            <w:r>
              <w:rPr>
                <w:rFonts w:ascii="Calibri" w:hAnsi="Calibri"/>
                <w:sz w:val="22"/>
              </w:rPr>
              <w:t>$331.6M</w:t>
            </w:r>
          </w:p>
        </w:tc>
        <w:tc>
          <w:tcPr>
            <w:tcW w:type="dxa" w:w="1234"/>
          </w:tcPr>
          <w:p>
            <w:r>
              <w:rPr>
                <w:rFonts w:ascii="Calibri" w:hAnsi="Calibri"/>
                <w:b/>
                <w:color w:val="E5484D"/>
                <w:sz w:val="22"/>
              </w:rPr>
              <w:t>−34.5%</w:t>
            </w:r>
          </w:p>
        </w:tc>
        <w:tc>
          <w:tcPr>
            <w:tcW w:type="dxa" w:w="1234"/>
          </w:tcPr>
          <w:p>
            <w:r>
              <w:rPr>
                <w:rFonts w:ascii="Calibri" w:hAnsi="Calibri"/>
                <w:sz w:val="22"/>
              </w:rPr>
              <w:t>$300M–$350M</w:t>
            </w:r>
          </w:p>
        </w:tc>
        <w:tc>
          <w:tcPr>
            <w:tcW w:type="dxa" w:w="1234"/>
          </w:tcPr>
          <w:p>
            <w:r>
              <w:rPr>
                <w:rFonts w:ascii="Calibri" w:hAnsi="Calibri"/>
                <w:sz w:val="22"/>
              </w:rPr>
              <w:t>+2.0%</w:t>
            </w:r>
          </w:p>
        </w:tc>
      </w:tr>
      <w:tr>
        <w:tc>
          <w:tcPr>
            <w:tcW w:type="dxa" w:w="1234"/>
          </w:tcPr>
          <w:p>
            <w:r>
              <w:rPr>
                <w:rFonts w:ascii="Calibri" w:hAnsi="Calibri"/>
                <w:sz w:val="22"/>
              </w:rPr>
              <w:t>Adj. EPS — Diluted ($)</w:t>
            </w:r>
          </w:p>
        </w:tc>
        <w:tc>
          <w:tcPr>
            <w:tcW w:type="dxa" w:w="1234"/>
          </w:tcPr>
          <w:p>
            <w:r>
              <w:rPr>
                <w:rFonts w:ascii="Calibri" w:hAnsi="Calibri"/>
                <w:sz w:val="22"/>
              </w:rPr>
              <w:t>$0.27</w:t>
            </w:r>
          </w:p>
        </w:tc>
        <w:tc>
          <w:tcPr>
            <w:tcW w:type="dxa" w:w="1234"/>
          </w:tcPr>
          <w:p>
            <w:r>
              <w:rPr>
                <w:rFonts w:ascii="Calibri" w:hAnsi="Calibri"/>
                <w:sz w:val="22"/>
              </w:rPr>
              <w:t>$2.38</w:t>
            </w:r>
          </w:p>
        </w:tc>
        <w:tc>
          <w:tcPr>
            <w:tcW w:type="dxa" w:w="1234"/>
          </w:tcPr>
          <w:p>
            <w:r>
              <w:rPr>
                <w:rFonts w:ascii="Calibri" w:hAnsi="Calibri"/>
                <w:sz w:val="22"/>
              </w:rPr>
              <w:t>$1.23</w:t>
            </w:r>
          </w:p>
        </w:tc>
        <w:tc>
          <w:tcPr>
            <w:tcW w:type="dxa" w:w="1234"/>
          </w:tcPr>
          <w:p>
            <w:r>
              <w:rPr>
                <w:rFonts w:ascii="Calibri" w:hAnsi="Calibri"/>
                <w:b/>
                <w:color w:val="E5484D"/>
                <w:sz w:val="22"/>
              </w:rPr>
              <w:t>−48.3%</w:t>
            </w:r>
          </w:p>
        </w:tc>
        <w:tc>
          <w:tcPr>
            <w:tcW w:type="dxa" w:w="1234"/>
          </w:tcPr>
          <w:p>
            <w:r>
              <w:rPr>
                <w:rFonts w:ascii="Calibri" w:hAnsi="Calibri"/>
                <w:sz w:val="22"/>
              </w:rPr>
              <w:t>N/A (no direct EPS guide)</w:t>
            </w:r>
          </w:p>
        </w:tc>
        <w:tc>
          <w:tcPr>
            <w:tcW w:type="dxa" w:w="1234"/>
          </w:tcPr>
          <w:p>
            <w:r>
              <w:rPr>
                <w:rFonts w:ascii="Calibri" w:hAnsi="Calibri"/>
                <w:sz w:val="22"/>
              </w:rPr>
              <w:t>N/A</w:t>
            </w:r>
          </w:p>
        </w:tc>
      </w:tr>
      <w:tr>
        <w:tc>
          <w:tcPr>
            <w:tcW w:type="dxa" w:w="1234"/>
          </w:tcPr>
          <w:p>
            <w:r>
              <w:rPr>
                <w:rFonts w:ascii="Calibri" w:hAnsi="Calibri"/>
                <w:sz w:val="22"/>
              </w:rPr>
              <w:t>Value-Added Products ($B)</w:t>
            </w:r>
          </w:p>
        </w:tc>
        <w:tc>
          <w:tcPr>
            <w:tcW w:type="dxa" w:w="1234"/>
          </w:tcPr>
          <w:p>
            <w:r>
              <w:rPr>
                <w:rFonts w:ascii="Calibri" w:hAnsi="Calibri"/>
                <w:sz w:val="22"/>
              </w:rPr>
              <w:t>$1.59B</w:t>
            </w:r>
          </w:p>
        </w:tc>
        <w:tc>
          <w:tcPr>
            <w:tcW w:type="dxa" w:w="1234"/>
          </w:tcPr>
          <w:p>
            <w:r>
              <w:rPr>
                <w:rFonts w:ascii="Calibri" w:hAnsi="Calibri"/>
                <w:sz w:val="22"/>
              </w:rPr>
              <w:t>$1.98B</w:t>
            </w:r>
          </w:p>
        </w:tc>
        <w:tc>
          <w:tcPr>
            <w:tcW w:type="dxa" w:w="1234"/>
          </w:tcPr>
          <w:p>
            <w:r>
              <w:rPr>
                <w:rFonts w:ascii="Calibri" w:hAnsi="Calibri"/>
                <w:sz w:val="22"/>
              </w:rPr>
              <w:t>$1.83B</w:t>
            </w:r>
          </w:p>
        </w:tc>
        <w:tc>
          <w:tcPr>
            <w:tcW w:type="dxa" w:w="1234"/>
          </w:tcPr>
          <w:p>
            <w:r>
              <w:rPr>
                <w:rFonts w:ascii="Calibri" w:hAnsi="Calibri"/>
                <w:b/>
                <w:color w:val="E5484D"/>
                <w:sz w:val="22"/>
              </w:rPr>
              <w:t>−7.6%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Manufactured Products ($B)</w:t>
            </w:r>
          </w:p>
        </w:tc>
        <w:tc>
          <w:tcPr>
            <w:tcW w:type="dxa" w:w="1234"/>
          </w:tcPr>
          <w:p>
            <w:r>
              <w:rPr>
                <w:rFonts w:ascii="Calibri" w:hAnsi="Calibri"/>
                <w:sz w:val="22"/>
              </w:rPr>
              <w:t>$0.73B</w:t>
            </w:r>
          </w:p>
        </w:tc>
        <w:tc>
          <w:tcPr>
            <w:tcW w:type="dxa" w:w="1234"/>
          </w:tcPr>
          <w:p>
            <w:r>
              <w:rPr>
                <w:rFonts w:ascii="Calibri" w:hAnsi="Calibri"/>
                <w:sz w:val="22"/>
              </w:rPr>
              <w:t>$0.95B</w:t>
            </w:r>
          </w:p>
        </w:tc>
        <w:tc>
          <w:tcPr>
            <w:tcW w:type="dxa" w:w="1234"/>
          </w:tcPr>
          <w:p>
            <w:r>
              <w:rPr>
                <w:rFonts w:ascii="Calibri" w:hAnsi="Calibri"/>
                <w:sz w:val="22"/>
              </w:rPr>
              <w:t>$0.87B</w:t>
            </w:r>
          </w:p>
        </w:tc>
        <w:tc>
          <w:tcPr>
            <w:tcW w:type="dxa" w:w="1234"/>
          </w:tcPr>
          <w:p>
            <w:r>
              <w:rPr>
                <w:rFonts w:ascii="Calibri" w:hAnsi="Calibri"/>
                <w:b/>
                <w:color w:val="E5484D"/>
                <w:sz w:val="22"/>
              </w:rPr>
              <w:t>−8.5%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Specialty Building Products ($B)</w:t>
            </w:r>
          </w:p>
        </w:tc>
        <w:tc>
          <w:tcPr>
            <w:tcW w:type="dxa" w:w="1234"/>
          </w:tcPr>
          <w:p>
            <w:r>
              <w:rPr>
                <w:rFonts w:ascii="Calibri" w:hAnsi="Calibri"/>
                <w:sz w:val="22"/>
              </w:rPr>
              <w:t>$0.85B</w:t>
            </w:r>
          </w:p>
        </w:tc>
        <w:tc>
          <w:tcPr>
            <w:tcW w:type="dxa" w:w="1234"/>
          </w:tcPr>
          <w:p>
            <w:r>
              <w:rPr>
                <w:rFonts w:ascii="Calibri" w:hAnsi="Calibri"/>
                <w:sz w:val="22"/>
              </w:rPr>
              <w:t>$1.12B</w:t>
            </w:r>
          </w:p>
        </w:tc>
        <w:tc>
          <w:tcPr>
            <w:tcW w:type="dxa" w:w="1234"/>
          </w:tcPr>
          <w:p>
            <w:r>
              <w:rPr>
                <w:rFonts w:ascii="Calibri" w:hAnsi="Calibri"/>
                <w:sz w:val="22"/>
              </w:rPr>
              <w:t>$1.04B</w:t>
            </w:r>
          </w:p>
        </w:tc>
        <w:tc>
          <w:tcPr>
            <w:tcW w:type="dxa" w:w="1234"/>
          </w:tcPr>
          <w:p>
            <w:r>
              <w:rPr>
                <w:rFonts w:ascii="Calibri" w:hAnsi="Calibri"/>
                <w:b/>
                <w:color w:val="E5484D"/>
                <w:sz w:val="22"/>
              </w:rPr>
              <w:t>−7.0%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Windows, Doors &amp; Millwork ($B)</w:t>
            </w:r>
          </w:p>
        </w:tc>
        <w:tc>
          <w:tcPr>
            <w:tcW w:type="dxa" w:w="1234"/>
          </w:tcPr>
          <w:p>
            <w:r>
              <w:rPr>
                <w:rFonts w:ascii="Calibri" w:hAnsi="Calibri"/>
                <w:sz w:val="22"/>
              </w:rPr>
              <w:t>$0.85B</w:t>
            </w:r>
          </w:p>
        </w:tc>
        <w:tc>
          <w:tcPr>
            <w:tcW w:type="dxa" w:w="1234"/>
          </w:tcPr>
          <w:p>
            <w:r>
              <w:rPr>
                <w:rFonts w:ascii="Calibri" w:hAnsi="Calibri"/>
                <w:sz w:val="22"/>
              </w:rPr>
              <w:t>$1.03B</w:t>
            </w:r>
          </w:p>
        </w:tc>
        <w:tc>
          <w:tcPr>
            <w:tcW w:type="dxa" w:w="1234"/>
          </w:tcPr>
          <w:p>
            <w:r>
              <w:rPr>
                <w:rFonts w:ascii="Calibri" w:hAnsi="Calibri"/>
                <w:sz w:val="22"/>
              </w:rPr>
              <w:t>$0.96B</w:t>
            </w:r>
          </w:p>
        </w:tc>
        <w:tc>
          <w:tcPr>
            <w:tcW w:type="dxa" w:w="1234"/>
          </w:tcPr>
          <w:p>
            <w:r>
              <w:rPr>
                <w:rFonts w:ascii="Calibri" w:hAnsi="Calibri"/>
                <w:b/>
                <w:color w:val="E5484D"/>
                <w:sz w:val="22"/>
              </w:rPr>
              <w:t>−6.8%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 Co. Defined ($M)</w:t>
            </w:r>
          </w:p>
        </w:tc>
        <w:tc>
          <w:tcPr>
            <w:tcW w:type="dxa" w:w="1234"/>
          </w:tcPr>
          <w:p>
            <w:r>
              <w:rPr>
                <w:rFonts w:ascii="Calibri" w:hAnsi="Calibri"/>
                <w:sz w:val="22"/>
              </w:rPr>
              <w:t>$42.7M</w:t>
            </w:r>
          </w:p>
        </w:tc>
        <w:tc>
          <w:tcPr>
            <w:tcW w:type="dxa" w:w="1234"/>
          </w:tcPr>
          <w:p>
            <w:r>
              <w:rPr>
                <w:rFonts w:ascii="Calibri" w:hAnsi="Calibri"/>
                <w:sz w:val="22"/>
              </w:rPr>
              <w:t>$255.0M</w:t>
            </w:r>
          </w:p>
        </w:tc>
        <w:tc>
          <w:tcPr>
            <w:tcW w:type="dxa" w:w="1234"/>
          </w:tcPr>
          <w:p>
            <w:r>
              <w:rPr>
                <w:rFonts w:ascii="Calibri" w:hAnsi="Calibri"/>
                <w:sz w:val="22"/>
              </w:rPr>
              <w:t>$121.1M</w:t>
            </w:r>
          </w:p>
        </w:tc>
        <w:tc>
          <w:tcPr>
            <w:tcW w:type="dxa" w:w="1234"/>
          </w:tcPr>
          <w:p>
            <w:r>
              <w:rPr>
                <w:rFonts w:ascii="Calibri" w:hAnsi="Calibri"/>
                <w:b/>
                <w:color w:val="E5484D"/>
                <w:sz w:val="22"/>
              </w:rPr>
              <w:t>−52.5%</w:t>
            </w:r>
          </w:p>
        </w:tc>
        <w:tc>
          <w:tcPr>
            <w:tcW w:type="dxa" w:w="1234"/>
          </w:tcPr>
          <w:p>
            <w:r>
              <w:rPr>
                <w:rFonts w:ascii="Calibri" w:hAnsi="Calibri"/>
                <w:sz w:val="22"/>
              </w:rPr>
              <w:t>$400M–$500M (FY)</w:t>
            </w:r>
          </w:p>
        </w:tc>
        <w:tc>
          <w:tcPr>
            <w:tcW w:type="dxa" w:w="1234"/>
          </w:tcPr>
          <w:p>
            <w:r>
              <w:rPr>
                <w:rFonts w:ascii="Calibri" w:hAnsi="Calibri"/>
                <w:sz w:val="22"/>
              </w:rPr>
              <w:t>N/A (FY guide)</w:t>
            </w:r>
          </w:p>
        </w:tc>
      </w:tr>
    </w:tbl>
    <w:p>
      <w:r>
        <w:rPr>
          <w:rFonts w:ascii="Calibri" w:hAnsi="Calibri"/>
          <w:color w:val="525866"/>
          <w:sz w:val="22"/>
        </w:rPr>
        <w:t>Source: Visible Alpha Consensus and Actuals Data. Q2 2026 guidance from Q1 2026 Earnings Call (April 30, 2026). All consensus figures as of July 29, 2026.</w:t>
      </w:r>
    </w:p>
    <w:p>
      <w:pPr>
        <w:pStyle w:val="Heading3"/>
      </w:pPr>
      <w:r>
        <w:rPr>
          <w:rFonts w:ascii="Calibri" w:hAnsi="Calibri"/>
          <w:b/>
          <w:color w:val="3B4259"/>
          <w:sz w:val="24"/>
        </w:rPr>
        <w:t>Table 2 — Beat/Miss History (Last 8 Quarters, Top 2 KPIs: Net Sales &amp; Adj.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$3.29B</w:t>
            </w:r>
          </w:p>
        </w:tc>
        <w:tc>
          <w:tcPr>
            <w:tcW w:type="dxa" w:w="1440"/>
          </w:tcPr>
          <w:p>
            <w:r>
              <w:rPr>
                <w:rFonts w:ascii="Calibri" w:hAnsi="Calibri"/>
                <w:sz w:val="22"/>
              </w:rPr>
              <w:t>$3.17B</w:t>
            </w:r>
          </w:p>
        </w:tc>
        <w:tc>
          <w:tcPr>
            <w:tcW w:type="dxa" w:w="1440"/>
          </w:tcPr>
          <w:p>
            <w:r>
              <w:rPr>
                <w:rFonts w:ascii="Calibri" w:hAnsi="Calibri"/>
                <w:b/>
                <w:color w:val="30A46C"/>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$213.8M</w:t>
            </w:r>
          </w:p>
        </w:tc>
        <w:tc>
          <w:tcPr>
            <w:tcW w:type="dxa" w:w="1440"/>
          </w:tcPr>
          <w:p>
            <w:r>
              <w:rPr>
                <w:rFonts w:ascii="Calibri" w:hAnsi="Calibri"/>
                <w:sz w:val="22"/>
              </w:rPr>
              <w:t>$204.4M</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$3.36B</w:t>
            </w:r>
          </w:p>
        </w:tc>
        <w:tc>
          <w:tcPr>
            <w:tcW w:type="dxa" w:w="1440"/>
          </w:tcPr>
          <w:p>
            <w:r>
              <w:rPr>
                <w:rFonts w:ascii="Calibri" w:hAnsi="Calibri"/>
                <w:sz w:val="22"/>
              </w:rPr>
              <w:t>$3.45B</w:t>
            </w:r>
          </w:p>
        </w:tc>
        <w:tc>
          <w:tcPr>
            <w:tcW w:type="dxa" w:w="1440"/>
          </w:tcPr>
          <w:p>
            <w:r>
              <w:rPr>
                <w:rFonts w:ascii="Calibri" w:hAnsi="Calibri"/>
                <w:b/>
                <w:color w:val="E5484D"/>
                <w:sz w:val="22"/>
              </w:rPr>
              <w:t>−2.6%</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$274.9M</w:t>
            </w:r>
          </w:p>
        </w:tc>
        <w:tc>
          <w:tcPr>
            <w:tcW w:type="dxa" w:w="1440"/>
          </w:tcPr>
          <w:p>
            <w:r>
              <w:rPr>
                <w:rFonts w:ascii="Calibri" w:hAnsi="Calibri"/>
                <w:sz w:val="22"/>
              </w:rPr>
              <w:t>$336.6M</w:t>
            </w:r>
          </w:p>
        </w:tc>
        <w:tc>
          <w:tcPr>
            <w:tcW w:type="dxa" w:w="1440"/>
          </w:tcPr>
          <w:p>
            <w:r>
              <w:rPr>
                <w:rFonts w:ascii="Calibri" w:hAnsi="Calibri"/>
                <w:b/>
                <w:color w:val="E5484D"/>
                <w:sz w:val="22"/>
              </w:rPr>
              <w:t>−18.3%</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$3.94B</w:t>
            </w:r>
          </w:p>
        </w:tc>
        <w:tc>
          <w:tcPr>
            <w:tcW w:type="dxa" w:w="1440"/>
          </w:tcPr>
          <w:p>
            <w:r>
              <w:rPr>
                <w:rFonts w:ascii="Calibri" w:hAnsi="Calibri"/>
                <w:sz w:val="22"/>
              </w:rPr>
              <w:t>$3.84B</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$433.7M</w:t>
            </w:r>
          </w:p>
        </w:tc>
        <w:tc>
          <w:tcPr>
            <w:tcW w:type="dxa" w:w="1440"/>
          </w:tcPr>
          <w:p>
            <w:r>
              <w:rPr>
                <w:rFonts w:ascii="Calibri" w:hAnsi="Calibri"/>
                <w:sz w:val="22"/>
              </w:rPr>
              <w:t>$405.8M</w:t>
            </w:r>
          </w:p>
        </w:tc>
        <w:tc>
          <w:tcPr>
            <w:tcW w:type="dxa" w:w="1440"/>
          </w:tcPr>
          <w:p>
            <w:r>
              <w:rPr>
                <w:rFonts w:ascii="Calibri" w:hAnsi="Calibri"/>
                <w:b/>
                <w:color w:val="30A46C"/>
                <w:sz w:val="22"/>
              </w:rPr>
              <w:t>+6.9%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$4.23B</w:t>
            </w:r>
          </w:p>
        </w:tc>
        <w:tc>
          <w:tcPr>
            <w:tcW w:type="dxa" w:w="1440"/>
          </w:tcPr>
          <w:p>
            <w:r>
              <w:rPr>
                <w:rFonts w:ascii="Calibri" w:hAnsi="Calibri"/>
                <w:sz w:val="22"/>
              </w:rPr>
              <w:t>$4.27B</w:t>
            </w:r>
          </w:p>
        </w:tc>
        <w:tc>
          <w:tcPr>
            <w:tcW w:type="dxa" w:w="1440"/>
          </w:tcPr>
          <w:p>
            <w:r>
              <w:rPr>
                <w:rFonts w:ascii="Calibri" w:hAnsi="Calibri"/>
                <w:b/>
                <w:color w:val="E5484D"/>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$506.1M</w:t>
            </w:r>
          </w:p>
        </w:tc>
        <w:tc>
          <w:tcPr>
            <w:tcW w:type="dxa" w:w="1440"/>
          </w:tcPr>
          <w:p>
            <w:r>
              <w:rPr>
                <w:rFonts w:ascii="Calibri" w:hAnsi="Calibri"/>
                <w:sz w:val="22"/>
              </w:rPr>
              <w:t>$498.3M</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$3.66B</w:t>
            </w:r>
          </w:p>
        </w:tc>
        <w:tc>
          <w:tcPr>
            <w:tcW w:type="dxa" w:w="1440"/>
          </w:tcPr>
          <w:p>
            <w:r>
              <w:rPr>
                <w:rFonts w:ascii="Calibri" w:hAnsi="Calibri"/>
                <w:sz w:val="22"/>
              </w:rPr>
              <w:t>$3.67B</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$369.2M</w:t>
            </w:r>
          </w:p>
        </w:tc>
        <w:tc>
          <w:tcPr>
            <w:tcW w:type="dxa" w:w="1440"/>
          </w:tcPr>
          <w:p>
            <w:r>
              <w:rPr>
                <w:rFonts w:ascii="Calibri" w:hAnsi="Calibri"/>
                <w:sz w:val="22"/>
              </w:rPr>
              <w:t>$375.9M</w:t>
            </w:r>
          </w:p>
        </w:tc>
        <w:tc>
          <w:tcPr>
            <w:tcW w:type="dxa" w:w="1440"/>
          </w:tcPr>
          <w:p>
            <w:r>
              <w:rPr>
                <w:rFonts w:ascii="Calibri" w:hAnsi="Calibri"/>
                <w:b/>
                <w:color w:val="E5484D"/>
                <w:sz w:val="22"/>
              </w:rPr>
              <w:t>−1.8%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$3.82B</w:t>
            </w:r>
          </w:p>
        </w:tc>
        <w:tc>
          <w:tcPr>
            <w:tcW w:type="dxa" w:w="1440"/>
          </w:tcPr>
          <w:p>
            <w:r>
              <w:rPr>
                <w:rFonts w:ascii="Calibri" w:hAnsi="Calibri"/>
                <w:sz w:val="22"/>
              </w:rPr>
              <w:t>$3.88B</w:t>
            </w:r>
          </w:p>
        </w:tc>
        <w:tc>
          <w:tcPr>
            <w:tcW w:type="dxa" w:w="1440"/>
          </w:tcPr>
          <w:p>
            <w:r>
              <w:rPr>
                <w:rFonts w:ascii="Calibri" w:hAnsi="Calibri"/>
                <w:b/>
                <w:color w:val="E5484D"/>
                <w:sz w:val="22"/>
              </w:rPr>
              <w:t>−1.5%</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$493.6M</w:t>
            </w:r>
          </w:p>
        </w:tc>
        <w:tc>
          <w:tcPr>
            <w:tcW w:type="dxa" w:w="1440"/>
          </w:tcPr>
          <w:p>
            <w:r>
              <w:rPr>
                <w:rFonts w:ascii="Calibri" w:hAnsi="Calibri"/>
                <w:sz w:val="22"/>
              </w:rPr>
              <w:t>$480.3M</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$4.23B</w:t>
            </w:r>
          </w:p>
        </w:tc>
        <w:tc>
          <w:tcPr>
            <w:tcW w:type="dxa" w:w="1440"/>
          </w:tcPr>
          <w:p>
            <w:r>
              <w:rPr>
                <w:rFonts w:ascii="Calibri" w:hAnsi="Calibri"/>
                <w:sz w:val="22"/>
              </w:rPr>
              <w:t>$4.44B</w:t>
            </w:r>
          </w:p>
        </w:tc>
        <w:tc>
          <w:tcPr>
            <w:tcW w:type="dxa" w:w="1440"/>
          </w:tcPr>
          <w:p>
            <w:r>
              <w:rPr>
                <w:rFonts w:ascii="Calibri" w:hAnsi="Calibri"/>
                <w:b/>
                <w:color w:val="E5484D"/>
                <w:sz w:val="22"/>
              </w:rPr>
              <w:t>−4.7%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$626.5M</w:t>
            </w:r>
          </w:p>
        </w:tc>
        <w:tc>
          <w:tcPr>
            <w:tcW w:type="dxa" w:w="1440"/>
          </w:tcPr>
          <w:p>
            <w:r>
              <w:rPr>
                <w:rFonts w:ascii="Calibri" w:hAnsi="Calibri"/>
                <w:sz w:val="22"/>
              </w:rPr>
              <w:t>$610.4M</w:t>
            </w:r>
          </w:p>
        </w:tc>
        <w:tc>
          <w:tcPr>
            <w:tcW w:type="dxa" w:w="1440"/>
          </w:tcPr>
          <w:p>
            <w:r>
              <w:rPr>
                <w:rFonts w:ascii="Calibri" w:hAnsi="Calibri"/>
                <w:b/>
                <w:color w:val="30A46C"/>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$4.46B</w:t>
            </w:r>
          </w:p>
        </w:tc>
        <w:tc>
          <w:tcPr>
            <w:tcW w:type="dxa" w:w="1440"/>
          </w:tcPr>
          <w:p>
            <w:r>
              <w:rPr>
                <w:rFonts w:ascii="Calibri" w:hAnsi="Calibri"/>
                <w:sz w:val="22"/>
              </w:rPr>
              <w:t>$4.47B</w:t>
            </w:r>
          </w:p>
        </w:tc>
        <w:tc>
          <w:tcPr>
            <w:tcW w:type="dxa" w:w="1440"/>
          </w:tcPr>
          <w:p>
            <w:r>
              <w:rPr>
                <w:rFonts w:ascii="Calibri" w:hAnsi="Calibri"/>
                <w:b/>
                <w:color w:val="E5484D"/>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$669.7M</w:t>
            </w:r>
          </w:p>
        </w:tc>
        <w:tc>
          <w:tcPr>
            <w:tcW w:type="dxa" w:w="1440"/>
          </w:tcPr>
          <w:p>
            <w:r>
              <w:rPr>
                <w:rFonts w:ascii="Calibri" w:hAnsi="Calibri"/>
                <w:sz w:val="22"/>
              </w:rPr>
              <w:t>$627.8M</w:t>
            </w:r>
          </w:p>
        </w:tc>
        <w:tc>
          <w:tcPr>
            <w:tcW w:type="dxa" w:w="1440"/>
          </w:tcPr>
          <w:p>
            <w:r>
              <w:rPr>
                <w:rFonts w:ascii="Calibri" w:hAnsi="Calibri"/>
                <w:b/>
                <w:color w:val="30A46C"/>
                <w:sz w:val="22"/>
              </w:rPr>
              <w:t>+6.7%</w:t>
            </w:r>
          </w:p>
        </w:tc>
        <w:tc>
          <w:tcPr>
            <w:tcW w:type="dxa" w:w="1440"/>
          </w:tcPr>
          <w:p>
            <w:r>
              <w:rPr>
                <w:rFonts w:ascii="Calibri" w:hAnsi="Calibri"/>
                <w:b/>
                <w:color w:val="30A46C"/>
                <w:sz w:val="22"/>
              </w:rPr>
              <w:t>BEAT</w:t>
            </w:r>
          </w:p>
        </w:tc>
      </w:tr>
    </w:tbl>
    <w:p>
      <w:r>
        <w:rPr>
          <w:rFonts w:ascii="Calibri" w:hAnsi="Calibri"/>
          <w:color w:val="525866"/>
          <w:sz w:val="22"/>
        </w:rPr>
        <w:t>Source: Visible Alpha Consensus and Actuals Data. Pattern: BLDR has beaten Adj. EBITDA consensus in 5 of the last 8 quarters but missed Net Sales in 5 of 8, with the most severe misses concentrated in the recent downturn (Q4 2025 EBITDA miss of −18.3%); the revenue beat in Q1 2026 was driven by bundling gains, not volume recovery.</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management’s tone was already deeply cautious — the wide $1.1B–$1.5B full-year EBITDA range and the downward revision to starts assumptions signal that the company is managing to a wide range of outcomes rather than a point estimate.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$3.75B – $4.05B</w:t>
            </w:r>
          </w:p>
        </w:tc>
        <w:tc>
          <w:tcPr>
            <w:tcW w:type="dxa" w:w="1728"/>
          </w:tcPr>
          <w:p>
            <w:r>
              <w:rPr>
                <w:rFonts w:ascii="Calibri" w:hAnsi="Calibri"/>
                <w:sz w:val="22"/>
              </w:rPr>
              <w:t>—</w:t>
            </w:r>
          </w:p>
        </w:tc>
        <w:tc>
          <w:tcPr>
            <w:tcW w:type="dxa" w:w="1728"/>
          </w:tcPr>
          <w:p>
            <w:r>
              <w:rPr>
                <w:rFonts w:ascii="Calibri" w:hAnsi="Calibri"/>
                <w:sz w:val="22"/>
              </w:rPr>
              <w:t>$3.92B</w:t>
            </w:r>
          </w:p>
        </w:tc>
        <w:tc>
          <w:tcPr>
            <w:tcW w:type="dxa" w:w="1728"/>
          </w:tcPr>
          <w:p>
            <w:r>
              <w:rPr>
                <w:rFonts w:ascii="Calibri" w:hAnsi="Calibri"/>
                <w:sz w:val="22"/>
              </w:rPr>
              <w:t>No post-earnings revision; consensus sits ~$30M below midpoint</w:t>
            </w:r>
          </w:p>
        </w:tc>
      </w:tr>
      <w:tr>
        <w:tc>
          <w:tcPr>
            <w:tcW w:type="dxa" w:w="1728"/>
          </w:tcPr>
          <w:p>
            <w:r>
              <w:rPr>
                <w:rFonts w:ascii="Calibri" w:hAnsi="Calibri"/>
                <w:sz w:val="22"/>
              </w:rPr>
              <w:t>Q2 2026 Adj. EBITDA</w:t>
            </w:r>
          </w:p>
        </w:tc>
        <w:tc>
          <w:tcPr>
            <w:tcW w:type="dxa" w:w="1728"/>
          </w:tcPr>
          <w:p>
            <w:r>
              <w:rPr>
                <w:rFonts w:ascii="Calibri" w:hAnsi="Calibri"/>
                <w:sz w:val="22"/>
              </w:rPr>
              <w:t>$300M – $350M</w:t>
            </w:r>
          </w:p>
        </w:tc>
        <w:tc>
          <w:tcPr>
            <w:tcW w:type="dxa" w:w="1728"/>
          </w:tcPr>
          <w:p>
            <w:r>
              <w:rPr>
                <w:rFonts w:ascii="Calibri" w:hAnsi="Calibri"/>
                <w:sz w:val="22"/>
              </w:rPr>
              <w:t>—</w:t>
            </w:r>
          </w:p>
        </w:tc>
        <w:tc>
          <w:tcPr>
            <w:tcW w:type="dxa" w:w="1728"/>
          </w:tcPr>
          <w:p>
            <w:r>
              <w:rPr>
                <w:rFonts w:ascii="Calibri" w:hAnsi="Calibri"/>
                <w:sz w:val="22"/>
              </w:rPr>
              <w:t>$331.6M</w:t>
            </w:r>
          </w:p>
        </w:tc>
        <w:tc>
          <w:tcPr>
            <w:tcW w:type="dxa" w:w="1728"/>
          </w:tcPr>
          <w:p>
            <w:r>
              <w:rPr>
                <w:rFonts w:ascii="Calibri" w:hAnsi="Calibri"/>
                <w:sz w:val="22"/>
              </w:rPr>
              <w:t>No post-earnings revision; consensus ~2% above midpoint</w:t>
            </w:r>
          </w:p>
        </w:tc>
      </w:tr>
      <w:tr>
        <w:tc>
          <w:tcPr>
            <w:tcW w:type="dxa" w:w="1728"/>
          </w:tcPr>
          <w:p>
            <w:r>
              <w:rPr>
                <w:rFonts w:ascii="Calibri" w:hAnsi="Calibri"/>
                <w:sz w:val="22"/>
              </w:rPr>
              <w:t>FY 2026 Net Sales</w:t>
            </w:r>
          </w:p>
        </w:tc>
        <w:tc>
          <w:tcPr>
            <w:tcW w:type="dxa" w:w="1728"/>
          </w:tcPr>
          <w:p>
            <w:r>
              <w:rPr>
                <w:rFonts w:ascii="Calibri" w:hAnsi="Calibri"/>
                <w:sz w:val="22"/>
              </w:rPr>
              <w:t>$14.6B – $15.6B</w:t>
            </w:r>
          </w:p>
        </w:tc>
        <w:tc>
          <w:tcPr>
            <w:tcW w:type="dxa" w:w="1728"/>
          </w:tcPr>
          <w:p>
            <w:r>
              <w:rPr>
                <w:rFonts w:ascii="Calibri" w:hAnsi="Calibri"/>
                <w:sz w:val="22"/>
              </w:rPr>
              <w:t>—</w:t>
            </w:r>
          </w:p>
        </w:tc>
        <w:tc>
          <w:tcPr>
            <w:tcW w:type="dxa" w:w="1728"/>
          </w:tcPr>
          <w:p>
            <w:r>
              <w:rPr>
                <w:rFonts w:ascii="Calibri" w:hAnsi="Calibri"/>
                <w:sz w:val="22"/>
              </w:rPr>
              <w:t>$14.77B</w:t>
            </w:r>
          </w:p>
        </w:tc>
        <w:tc>
          <w:tcPr>
            <w:tcW w:type="dxa" w:w="1728"/>
          </w:tcPr>
          <w:p>
            <w:r>
              <w:rPr>
                <w:rFonts w:ascii="Calibri" w:hAnsi="Calibri"/>
                <w:sz w:val="22"/>
              </w:rPr>
              <w:t>Consensus near low end of range; reflects cautious starts outlook</w:t>
            </w:r>
          </w:p>
        </w:tc>
      </w:tr>
      <w:tr>
        <w:tc>
          <w:tcPr>
            <w:tcW w:type="dxa" w:w="1728"/>
          </w:tcPr>
          <w:p>
            <w:r>
              <w:rPr>
                <w:rFonts w:ascii="Calibri" w:hAnsi="Calibri"/>
                <w:sz w:val="22"/>
              </w:rPr>
              <w:t>FY 2026 Adj. EBITDA</w:t>
            </w:r>
          </w:p>
        </w:tc>
        <w:tc>
          <w:tcPr>
            <w:tcW w:type="dxa" w:w="1728"/>
          </w:tcPr>
          <w:p>
            <w:r>
              <w:rPr>
                <w:rFonts w:ascii="Calibri" w:hAnsi="Calibri"/>
                <w:sz w:val="22"/>
              </w:rPr>
              <w:t>$1.1B – $1.5B</w:t>
            </w:r>
          </w:p>
        </w:tc>
        <w:tc>
          <w:tcPr>
            <w:tcW w:type="dxa" w:w="1728"/>
          </w:tcPr>
          <w:p>
            <w:r>
              <w:rPr>
                <w:rFonts w:ascii="Calibri" w:hAnsi="Calibri"/>
                <w:sz w:val="22"/>
              </w:rPr>
              <w:t>—</w:t>
            </w:r>
          </w:p>
        </w:tc>
        <w:tc>
          <w:tcPr>
            <w:tcW w:type="dxa" w:w="1728"/>
          </w:tcPr>
          <w:p>
            <w:r>
              <w:rPr>
                <w:rFonts w:ascii="Calibri" w:hAnsi="Calibri"/>
                <w:sz w:val="22"/>
              </w:rPr>
              <w:t>$1.20B</w:t>
            </w:r>
          </w:p>
        </w:tc>
        <w:tc>
          <w:tcPr>
            <w:tcW w:type="dxa" w:w="1728"/>
          </w:tcPr>
          <w:p>
            <w:r>
              <w:rPr>
                <w:rFonts w:ascii="Calibri" w:hAnsi="Calibri"/>
                <w:sz w:val="22"/>
              </w:rPr>
              <w:t>Consensus near low end; wide range reflects macro uncertainty</w:t>
            </w:r>
          </w:p>
        </w:tc>
      </w:tr>
      <w:tr>
        <w:tc>
          <w:tcPr>
            <w:tcW w:type="dxa" w:w="1728"/>
          </w:tcPr>
          <w:p>
            <w:r>
              <w:rPr>
                <w:rFonts w:ascii="Calibri" w:hAnsi="Calibri"/>
                <w:sz w:val="22"/>
              </w:rPr>
              <w:t>FY 2026 Adj. EBITDA Margin</w:t>
            </w:r>
          </w:p>
        </w:tc>
        <w:tc>
          <w:tcPr>
            <w:tcW w:type="dxa" w:w="1728"/>
          </w:tcPr>
          <w:p>
            <w:r>
              <w:rPr>
                <w:rFonts w:ascii="Calibri" w:hAnsi="Calibri"/>
                <w:sz w:val="22"/>
              </w:rPr>
              <w:t>7.5% – 9.6%</w:t>
            </w:r>
          </w:p>
        </w:tc>
        <w:tc>
          <w:tcPr>
            <w:tcW w:type="dxa" w:w="1728"/>
          </w:tcPr>
          <w:p>
            <w:r>
              <w:rPr>
                <w:rFonts w:ascii="Calibri" w:hAnsi="Calibri"/>
                <w:sz w:val="22"/>
              </w:rPr>
              <w:t>—</w:t>
            </w:r>
          </w:p>
        </w:tc>
        <w:tc>
          <w:tcPr>
            <w:tcW w:type="dxa" w:w="1728"/>
          </w:tcPr>
          <w:p>
            <w:r>
              <w:rPr>
                <w:rFonts w:ascii="Calibri" w:hAnsi="Calibri"/>
                <w:sz w:val="22"/>
              </w:rPr>
              <w:t>~8.1% (implied)</w:t>
            </w:r>
          </w:p>
        </w:tc>
        <w:tc>
          <w:tcPr>
            <w:tcW w:type="dxa" w:w="1728"/>
          </w:tcPr>
          <w:p>
            <w:r>
              <w:rPr>
                <w:rFonts w:ascii="Calibri" w:hAnsi="Calibri"/>
                <w:sz w:val="22"/>
              </w:rPr>
              <w:t>Consensus implies margin near low end of range</w:t>
            </w:r>
          </w:p>
        </w:tc>
      </w:tr>
      <w:tr>
        <w:tc>
          <w:tcPr>
            <w:tcW w:type="dxa" w:w="1728"/>
          </w:tcPr>
          <w:p>
            <w:r>
              <w:rPr>
                <w:rFonts w:ascii="Calibri" w:hAnsi="Calibri"/>
                <w:sz w:val="22"/>
              </w:rPr>
              <w:t>FY 2026 Gross Margin</w:t>
            </w:r>
          </w:p>
        </w:tc>
        <w:tc>
          <w:tcPr>
            <w:tcW w:type="dxa" w:w="1728"/>
          </w:tcPr>
          <w:p>
            <w:r>
              <w:rPr>
                <w:rFonts w:ascii="Calibri" w:hAnsi="Calibri"/>
                <w:sz w:val="22"/>
              </w:rPr>
              <w:t>27.5% – 29.0%</w:t>
            </w:r>
          </w:p>
        </w:tc>
        <w:tc>
          <w:tcPr>
            <w:tcW w:type="dxa" w:w="1728"/>
          </w:tcPr>
          <w:p>
            <w:r>
              <w:rPr>
                <w:rFonts w:ascii="Calibri" w:hAnsi="Calibri"/>
                <w:sz w:val="22"/>
              </w:rPr>
              <w:t>—</w:t>
            </w:r>
          </w:p>
        </w:tc>
        <w:tc>
          <w:tcPr>
            <w:tcW w:type="dxa" w:w="1728"/>
          </w:tcPr>
          <w:p>
            <w:r>
              <w:rPr>
                <w:rFonts w:ascii="Calibri" w:hAnsi="Calibri"/>
                <w:sz w:val="22"/>
              </w:rPr>
              <w:t>~28.3% (implied)</w:t>
            </w:r>
          </w:p>
        </w:tc>
        <w:tc>
          <w:tcPr>
            <w:tcW w:type="dxa" w:w="1728"/>
          </w:tcPr>
          <w:p>
            <w:r>
              <w:rPr>
                <w:rFonts w:ascii="Calibri" w:hAnsi="Calibri"/>
                <w:sz w:val="22"/>
              </w:rPr>
              <w:t>Q1 actual was 28.3%; consensus implies flat trajectory</w:t>
            </w:r>
          </w:p>
        </w:tc>
      </w:tr>
      <w:tr>
        <w:tc>
          <w:tcPr>
            <w:tcW w:type="dxa" w:w="1728"/>
          </w:tcPr>
          <w:p>
            <w:r>
              <w:rPr>
                <w:rFonts w:ascii="Calibri" w:hAnsi="Calibri"/>
                <w:sz w:val="22"/>
              </w:rPr>
              <w:t>FY 2026 Free Cash Flow</w:t>
            </w:r>
          </w:p>
        </w:tc>
        <w:tc>
          <w:tcPr>
            <w:tcW w:type="dxa" w:w="1728"/>
          </w:tcPr>
          <w:p>
            <w:r>
              <w:rPr>
                <w:rFonts w:ascii="Calibri" w:hAnsi="Calibri"/>
                <w:sz w:val="22"/>
              </w:rPr>
              <w:t>$400M – $500M</w:t>
            </w:r>
          </w:p>
        </w:tc>
        <w:tc>
          <w:tcPr>
            <w:tcW w:type="dxa" w:w="1728"/>
          </w:tcPr>
          <w:p>
            <w:r>
              <w:rPr>
                <w:rFonts w:ascii="Calibri" w:hAnsi="Calibri"/>
                <w:sz w:val="22"/>
              </w:rPr>
              <w:t>—</w:t>
            </w:r>
          </w:p>
        </w:tc>
        <w:tc>
          <w:tcPr>
            <w:tcW w:type="dxa" w:w="1728"/>
          </w:tcPr>
          <w:p>
            <w:r>
              <w:rPr>
                <w:rFonts w:ascii="Calibri" w:hAnsi="Calibri"/>
                <w:sz w:val="22"/>
              </w:rPr>
              <w:t>$427.2M</w:t>
            </w:r>
          </w:p>
        </w:tc>
        <w:tc>
          <w:tcPr>
            <w:tcW w:type="dxa" w:w="1728"/>
          </w:tcPr>
          <w:p>
            <w:r>
              <w:rPr>
                <w:rFonts w:ascii="Calibri" w:hAnsi="Calibri"/>
                <w:sz w:val="22"/>
              </w:rPr>
              <w:t>Consensus near low end; H2 working capital build is a headwind</w:t>
            </w:r>
          </w:p>
        </w:tc>
      </w:tr>
      <w:tr>
        <w:tc>
          <w:tcPr>
            <w:tcW w:type="dxa" w:w="1728"/>
          </w:tcPr>
          <w:p>
            <w:r>
              <w:rPr>
                <w:rFonts w:ascii="Calibri" w:hAnsi="Calibri"/>
                <w:sz w:val="22"/>
              </w:rPr>
              <w:t>Commodity Price Assumption</w:t>
            </w:r>
          </w:p>
        </w:tc>
        <w:tc>
          <w:tcPr>
            <w:tcW w:type="dxa" w:w="1728"/>
          </w:tcPr>
          <w:p>
            <w:r>
              <w:rPr>
                <w:rFonts w:ascii="Calibri" w:hAnsi="Calibri"/>
                <w:sz w:val="22"/>
              </w:rPr>
              <w:t>$390–$410/MBF (long-term avg. ~$400)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Lumber prices have risen since mid-Dec; input cost pass-through timing is a margin risk</w:t>
            </w:r>
          </w:p>
        </w:tc>
      </w:tr>
      <w:tr>
        <w:tc>
          <w:tcPr>
            <w:tcW w:type="dxa" w:w="1728"/>
          </w:tcPr>
          <w:p>
            <w:r>
              <w:rPr>
                <w:rFonts w:ascii="Calibri" w:hAnsi="Calibri"/>
                <w:sz w:val="22"/>
              </w:rPr>
              <w:t>Single-Family &amp; Multifamily Starts</w:t>
            </w:r>
          </w:p>
        </w:tc>
        <w:tc>
          <w:tcPr>
            <w:tcW w:type="dxa" w:w="1728"/>
          </w:tcPr>
          <w:p>
            <w:r>
              <w:rPr>
                <w:rFonts w:ascii="Calibri" w:hAnsi="Calibri"/>
                <w:sz w:val="22"/>
              </w:rPr>
              <w:t>Down ~2.5% YoY vs.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June single-family starts: 895K SAAR, down 0.2% MoM and −3.2% YoY — broadly consistent with guidance</w:t>
            </w:r>
          </w:p>
        </w:tc>
      </w:tr>
    </w:tbl>
    <w:p>
      <w:r>
        <w:rPr>
          <w:rFonts w:ascii="Calibri" w:hAnsi="Calibri"/>
          <w:color w:val="525866"/>
          <w:sz w:val="22"/>
        </w:rPr>
        <w:t>Source: Q1 2026 Earnings Call Transcript (April 30, 2026); Visible Alpha Consensus and Actuals Data; U.S. Census Bureau Housing Starts (June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EPS consensus fell ~7% from the post-earnings baseline — but the bigger story is that full-year EBITDA consensus ($1.20B) sits near the low end of the $1.1B–$1.5B guidance range, implying the Street is not giving management the benefit of the doubt on a second-half recovery.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 (%)</w:t>
            </w:r>
          </w:p>
        </w:tc>
      </w:tr>
      <w:tr>
        <w:tc>
          <w:tcPr>
            <w:tcW w:type="dxa" w:w="1080"/>
          </w:tcPr>
          <w:p>
            <w:r>
              <w:rPr>
                <w:rFonts w:ascii="Calibri" w:hAnsi="Calibri"/>
                <w:sz w:val="22"/>
              </w:rPr>
              <w:t>Net Sales (Q2 2026)</w:t>
            </w:r>
          </w:p>
        </w:tc>
        <w:tc>
          <w:tcPr>
            <w:tcW w:type="dxa" w:w="1080"/>
          </w:tcPr>
          <w:p>
            <w:r>
              <w:rPr>
                <w:rFonts w:ascii="Calibri" w:hAnsi="Calibri"/>
                <w:sz w:val="22"/>
              </w:rPr>
              <w:t>$3.93B</w:t>
            </w:r>
          </w:p>
        </w:tc>
        <w:tc>
          <w:tcPr>
            <w:tcW w:type="dxa" w:w="1080"/>
          </w:tcPr>
          <w:p>
            <w:r>
              <w:rPr>
                <w:rFonts w:ascii="Calibri" w:hAnsi="Calibri"/>
                <w:sz w:val="22"/>
              </w:rPr>
              <w:t>$3.92B</w:t>
            </w:r>
          </w:p>
        </w:tc>
        <w:tc>
          <w:tcPr>
            <w:tcW w:type="dxa" w:w="1080"/>
          </w:tcPr>
          <w:p>
            <w:r>
              <w:rPr>
                <w:rFonts w:ascii="Calibri" w:hAnsi="Calibri"/>
                <w:sz w:val="22"/>
              </w:rPr>
              <w:t>−0.2%</w:t>
            </w:r>
          </w:p>
        </w:tc>
        <w:tc>
          <w:tcPr>
            <w:tcW w:type="dxa" w:w="1080"/>
          </w:tcPr>
          <w:p>
            <w:r>
              <w:rPr>
                <w:rFonts w:ascii="Calibri" w:hAnsi="Calibri"/>
                <w:sz w:val="22"/>
              </w:rPr>
              <w:t>$3.75B–$4.05B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EBITDA (Q2 2026)</w:t>
            </w:r>
          </w:p>
        </w:tc>
        <w:tc>
          <w:tcPr>
            <w:tcW w:type="dxa" w:w="1080"/>
          </w:tcPr>
          <w:p>
            <w:r>
              <w:rPr>
                <w:rFonts w:ascii="Calibri" w:hAnsi="Calibri"/>
                <w:sz w:val="22"/>
              </w:rPr>
              <w:t>$332.3M</w:t>
            </w:r>
          </w:p>
        </w:tc>
        <w:tc>
          <w:tcPr>
            <w:tcW w:type="dxa" w:w="1080"/>
          </w:tcPr>
          <w:p>
            <w:r>
              <w:rPr>
                <w:rFonts w:ascii="Calibri" w:hAnsi="Calibri"/>
                <w:sz w:val="22"/>
              </w:rPr>
              <w:t>$331.6M</w:t>
            </w:r>
          </w:p>
        </w:tc>
        <w:tc>
          <w:tcPr>
            <w:tcW w:type="dxa" w:w="1080"/>
          </w:tcPr>
          <w:p>
            <w:r>
              <w:rPr>
                <w:rFonts w:ascii="Calibri" w:hAnsi="Calibri"/>
                <w:sz w:val="22"/>
              </w:rPr>
              <w:t>−0.2%</w:t>
            </w:r>
          </w:p>
        </w:tc>
        <w:tc>
          <w:tcPr>
            <w:tcW w:type="dxa" w:w="1080"/>
          </w:tcPr>
          <w:p>
            <w:r>
              <w:rPr>
                <w:rFonts w:ascii="Calibri" w:hAnsi="Calibri"/>
                <w:sz w:val="22"/>
              </w:rPr>
              <w:t>$300M–$350M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w:t>
            </w:r>
          </w:p>
        </w:tc>
      </w:tr>
      <w:tr>
        <w:tc>
          <w:tcPr>
            <w:tcW w:type="dxa" w:w="1080"/>
          </w:tcPr>
          <w:p>
            <w:r>
              <w:rPr>
                <w:rFonts w:ascii="Calibri" w:hAnsi="Calibri"/>
                <w:sz w:val="22"/>
              </w:rPr>
              <w:t>Adj. EPS — Diluted (Q2 2026)</w:t>
            </w:r>
          </w:p>
        </w:tc>
        <w:tc>
          <w:tcPr>
            <w:tcW w:type="dxa" w:w="1080"/>
          </w:tcPr>
          <w:p>
            <w:r>
              <w:rPr>
                <w:rFonts w:ascii="Calibri" w:hAnsi="Calibri"/>
                <w:sz w:val="22"/>
              </w:rPr>
              <w:t>$1.32</w:t>
            </w:r>
          </w:p>
        </w:tc>
        <w:tc>
          <w:tcPr>
            <w:tcW w:type="dxa" w:w="1080"/>
          </w:tcPr>
          <w:p>
            <w:r>
              <w:rPr>
                <w:rFonts w:ascii="Calibri" w:hAnsi="Calibri"/>
                <w:sz w:val="22"/>
              </w:rPr>
              <w:t>$1.23</w:t>
            </w:r>
          </w:p>
        </w:tc>
        <w:tc>
          <w:tcPr>
            <w:tcW w:type="dxa" w:w="1080"/>
          </w:tcPr>
          <w:p>
            <w:r>
              <w:rPr>
                <w:rFonts w:ascii="Calibri" w:hAnsi="Calibri"/>
                <w:b/>
                <w:color w:val="E5484D"/>
                <w:sz w:val="22"/>
              </w:rPr>
              <w:t>−6.8%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(FY 2026)</w:t>
            </w:r>
          </w:p>
        </w:tc>
        <w:tc>
          <w:tcPr>
            <w:tcW w:type="dxa" w:w="1080"/>
          </w:tcPr>
          <w:p>
            <w:r>
              <w:rPr>
                <w:rFonts w:ascii="Calibri" w:hAnsi="Calibri"/>
                <w:sz w:val="22"/>
              </w:rPr>
              <w:t>$14.84B</w:t>
            </w:r>
          </w:p>
        </w:tc>
        <w:tc>
          <w:tcPr>
            <w:tcW w:type="dxa" w:w="1080"/>
          </w:tcPr>
          <w:p>
            <w:r>
              <w:rPr>
                <w:rFonts w:ascii="Calibri" w:hAnsi="Calibri"/>
                <w:sz w:val="22"/>
              </w:rPr>
              <w:t>$14.77B</w:t>
            </w:r>
          </w:p>
        </w:tc>
        <w:tc>
          <w:tcPr>
            <w:tcW w:type="dxa" w:w="1080"/>
          </w:tcPr>
          <w:p>
            <w:r>
              <w:rPr>
                <w:rFonts w:ascii="Calibri" w:hAnsi="Calibri"/>
                <w:sz w:val="22"/>
              </w:rPr>
              <w:t>−0.5%</w:t>
            </w:r>
          </w:p>
        </w:tc>
        <w:tc>
          <w:tcPr>
            <w:tcW w:type="dxa" w:w="1080"/>
          </w:tcPr>
          <w:p>
            <w:r>
              <w:rPr>
                <w:rFonts w:ascii="Calibri" w:hAnsi="Calibri"/>
                <w:sz w:val="22"/>
              </w:rPr>
              <w:t>$14.6B–$15.6B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−4.7% vs. mid</w:t>
            </w:r>
          </w:p>
        </w:tc>
      </w:tr>
      <w:tr>
        <w:tc>
          <w:tcPr>
            <w:tcW w:type="dxa" w:w="1080"/>
          </w:tcPr>
          <w:p>
            <w:r>
              <w:rPr>
                <w:rFonts w:ascii="Calibri" w:hAnsi="Calibri"/>
                <w:sz w:val="22"/>
              </w:rPr>
              <w:t>Adj. EBITDA (FY 2026)</w:t>
            </w:r>
          </w:p>
        </w:tc>
        <w:tc>
          <w:tcPr>
            <w:tcW w:type="dxa" w:w="1080"/>
          </w:tcPr>
          <w:p>
            <w:r>
              <w:rPr>
                <w:rFonts w:ascii="Calibri" w:hAnsi="Calibri"/>
                <w:sz w:val="22"/>
              </w:rPr>
              <w:t>$1.228B</w:t>
            </w:r>
          </w:p>
        </w:tc>
        <w:tc>
          <w:tcPr>
            <w:tcW w:type="dxa" w:w="1080"/>
          </w:tcPr>
          <w:p>
            <w:r>
              <w:rPr>
                <w:rFonts w:ascii="Calibri" w:hAnsi="Calibri"/>
                <w:sz w:val="22"/>
              </w:rPr>
              <w:t>$1.202B</w:t>
            </w:r>
          </w:p>
        </w:tc>
        <w:tc>
          <w:tcPr>
            <w:tcW w:type="dxa" w:w="1080"/>
          </w:tcPr>
          <w:p>
            <w:r>
              <w:rPr>
                <w:rFonts w:ascii="Calibri" w:hAnsi="Calibri"/>
                <w:b/>
                <w:color w:val="E5484D"/>
                <w:sz w:val="22"/>
              </w:rPr>
              <w:t>−2.1%</w:t>
            </w:r>
          </w:p>
        </w:tc>
        <w:tc>
          <w:tcPr>
            <w:tcW w:type="dxa" w:w="1080"/>
          </w:tcPr>
          <w:p>
            <w:r>
              <w:rPr>
                <w:rFonts w:ascii="Calibri" w:hAnsi="Calibri"/>
                <w:sz w:val="22"/>
              </w:rPr>
              <w:t>$1.1B–$1.5B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−15.6% vs. mid</w:t>
            </w:r>
          </w:p>
        </w:tc>
      </w:tr>
      <w:tr>
        <w:tc>
          <w:tcPr>
            <w:tcW w:type="dxa" w:w="1080"/>
          </w:tcPr>
          <w:p>
            <w:r>
              <w:rPr>
                <w:rFonts w:ascii="Calibri" w:hAnsi="Calibri"/>
                <w:sz w:val="22"/>
              </w:rPr>
              <w:t>Adj. EPS — Diluted (FY 2026)</w:t>
            </w:r>
          </w:p>
        </w:tc>
        <w:tc>
          <w:tcPr>
            <w:tcW w:type="dxa" w:w="1080"/>
          </w:tcPr>
          <w:p>
            <w:r>
              <w:rPr>
                <w:rFonts w:ascii="Calibri" w:hAnsi="Calibri"/>
                <w:sz w:val="22"/>
              </w:rPr>
              <w:t>$4.14</w:t>
            </w:r>
          </w:p>
        </w:tc>
        <w:tc>
          <w:tcPr>
            <w:tcW w:type="dxa" w:w="1080"/>
          </w:tcPr>
          <w:p>
            <w:r>
              <w:rPr>
                <w:rFonts w:ascii="Calibri" w:hAnsi="Calibri"/>
                <w:sz w:val="22"/>
              </w:rPr>
              <w:t>$3.98</w:t>
            </w:r>
          </w:p>
        </w:tc>
        <w:tc>
          <w:tcPr>
            <w:tcW w:type="dxa" w:w="1080"/>
          </w:tcPr>
          <w:p>
            <w:r>
              <w:rPr>
                <w:rFonts w:ascii="Calibri" w:hAnsi="Calibri"/>
                <w:b/>
                <w:color w:val="E5484D"/>
                <w:sz w:val="22"/>
              </w:rPr>
              <w:t>−3.9%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(as-of dates: May 7, 2026 and July 29, 2026). Q2 EPS estimates have drifted ~7% lower since the post-Q1 baseline, consistent with the cautious tone, while revenue and EBITDA estimates are nearly unchanged — suggesting the Street has absorbed the guidance reset but is not yet pricing in further deterioration. The full-year EBITDA consensus of $1.20B sitting near the low end of the $1.1B–$1.5B range implies limited confidence in the H2 recovery that management is counting 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BLDR has declined ~14% since the Q1 earnings day close (April 30, 2026) vs. XHB roughly flat and S&amp;P 500 up ~1.5% — the underperformance is driven by multiple compression and downward estimate revisions, not a sector-wide move, reflecting BLDR-specific concerns around specialty product margins and the depth of the housing downturn.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BLDR vs. XHB (Homebuilders ETF) vs. S&amp;P 500 (SPY) — Indexed to 100 at April 30, 2026 (Q1 2026 Earnings Date). Source: Yahoo Finance / Stock Price Data.</w:t>
      </w:r>
    </w:p>
    <w:p>
      <w:r>
        <w:rPr>
          <w:rFonts w:ascii="Calibri" w:hAnsi="Calibri"/>
          <w:color w:val="525866"/>
          <w:sz w:val="22"/>
        </w:rPr>
        <w:t>Since the Q1 2026 earnings day close (April 30, 2026), BLDR has declined from $79.09 to $67.76 (as of July 28, 2026), an indexed return of ~85.7 vs. XHB at ~98.8 and SPY at ~101.5. The stock initially sold off sharply in the first two weeks post-earnings (reaching a low near $66 in mid-May) as the market digested the EPS miss and guidance cut, then partially recovered through late June on housing data optimism and the Russell 2500 index inclusion announcement (July 2, 2026), before fading again in July as single-family starts data remained soft (June SAAR: 895K, down 3.2% YoY). The underperformance vs. XHB is notable — homebuilder-adjacent names have held up better, suggesting the market is penalizing BLDR specifically for its margin profile and leverage (net debt/EBITDA ~3.2x) rather than the broader housing outlook.</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continued softness in single-family housing starts (June SAAR 895K, down 3.2% YoY), which validates management’s cautious starts assumptions and keeps pressure on Q2 revenue and margins; the COO succession announcement is a secondary but notable leadership transition.</w:t>
      </w:r>
    </w:p>
    <w:p>
      <w:pPr>
        <w:pStyle w:val="ListBullet"/>
        <w:ind w:left="360" w:hanging="360"/>
      </w:pPr>
      <w:r>
        <w:rPr>
          <w:rFonts w:ascii="Calibri" w:hAnsi="Calibri"/>
          <w:b/>
          <w:color w:val="525866"/>
          <w:sz w:val="22"/>
        </w:rPr>
        <w:t>July 17, 2026 — June Housing Starts Data (U.S. Census Bureau):</w:t>
      </w:r>
      <w:r>
        <w:rPr>
          <w:rFonts w:ascii="Calibri" w:hAnsi="Calibri"/>
          <w:color w:val="525866"/>
          <w:sz w:val="22"/>
        </w:rPr>
        <w:t xml:space="preserve"> Single-family starts came in at 895K SAAR, down 0.2% MoM and down 3.2% YoY. Single-family permits fell 2.4% MoM to 871K SAAR. Implication: Broadly consistent with management’s “down ~2.5%” starts assumption for FY2026, but the lack of any sequential improvement heading into Q2 reporting removes any upside catalyst from the macro data.</w:t>
      </w:r>
    </w:p>
    <w:p>
      <w:pPr>
        <w:pStyle w:val="ListBullet"/>
        <w:ind w:left="360" w:hanging="360"/>
      </w:pPr>
      <w:r>
        <w:rPr>
          <w:rFonts w:ascii="Calibri" w:hAnsi="Calibri"/>
          <w:b/>
          <w:color w:val="525866"/>
          <w:sz w:val="22"/>
        </w:rPr>
        <w:t>July 9, 2026 — Q2 2026 Earnings Call Announcement:</w:t>
      </w:r>
      <w:r>
        <w:rPr>
          <w:rFonts w:ascii="Calibri" w:hAnsi="Calibri"/>
          <w:color w:val="525866"/>
          <w:sz w:val="22"/>
        </w:rPr>
        <w:t xml:space="preserve"> BLDR confirmed Q2 2026 results will be reported July 30, 2026 before market open, with a conference call at 8:00 a.m. CT hosted by CEO Peter Jackson and CFO Pete Beckmann.</w:t>
      </w:r>
    </w:p>
    <w:p>
      <w:pPr>
        <w:pStyle w:val="ListBullet"/>
        <w:ind w:left="360" w:hanging="360"/>
      </w:pPr>
      <w:r>
        <w:rPr>
          <w:rFonts w:ascii="Calibri" w:hAnsi="Calibri"/>
          <w:b/>
          <w:color w:val="525866"/>
          <w:sz w:val="22"/>
        </w:rPr>
        <w:t>July 2, 2026 — Russell 2500 Index Inclusion:</w:t>
      </w:r>
      <w:r>
        <w:rPr>
          <w:rFonts w:ascii="Calibri" w:hAnsi="Calibri"/>
          <w:color w:val="525866"/>
          <w:sz w:val="22"/>
        </w:rPr>
        <w:t xml:space="preserve"> BLDR was added to the Russell 2500 Indexes, triggering a brief stock rally (shares rose ~14% from ~$75 to ~$90 in the June 24–30 window). Implication: Index-driven buying provided a temporary technical tailwind but has since faded; the inclusion reflects BLDR’s declining market cap rather than a fundamental positive.</w:t>
      </w:r>
    </w:p>
    <w:p>
      <w:pPr>
        <w:pStyle w:val="ListBullet"/>
        <w:ind w:left="360" w:hanging="360"/>
      </w:pPr>
      <w:r>
        <w:rPr>
          <w:rFonts w:ascii="Calibri" w:hAnsi="Calibri"/>
          <w:b/>
          <w:color w:val="525866"/>
          <w:sz w:val="22"/>
        </w:rPr>
        <w:t>June 5, 2026 — Director Resignation:</w:t>
      </w:r>
      <w:r>
        <w:rPr>
          <w:rFonts w:ascii="Calibri" w:hAnsi="Calibri"/>
          <w:color w:val="525866"/>
          <w:sz w:val="22"/>
        </w:rPr>
        <w:t xml:space="preserve"> Mark A. Alexander resigned from the Board of Directors effective June 3, 2026. No reason was disclosed. Implication: Minor governance note; no indication of strategic disagreement.</w:t>
      </w:r>
    </w:p>
    <w:p>
      <w:pPr>
        <w:pStyle w:val="ListBullet"/>
        <w:ind w:left="360" w:hanging="360"/>
      </w:pPr>
      <w:r>
        <w:rPr>
          <w:rFonts w:ascii="Calibri" w:hAnsi="Calibri"/>
          <w:b/>
          <w:color w:val="525866"/>
          <w:sz w:val="22"/>
        </w:rPr>
        <w:t>May 18, 2026 — COO and CHRO Succession Plan Announced (8-K):</w:t>
      </w:r>
      <w:r>
        <w:rPr>
          <w:rFonts w:ascii="Calibri" w:hAnsi="Calibri"/>
          <w:color w:val="525866"/>
          <w:sz w:val="22"/>
        </w:rPr>
        <w:t xml:space="preserve"> Mike Hiller appointed COO-Designate, succeeding Steve Herron (retiring December 31, 2026). Coley O’Brien appointed Chief Human Resources Officer. Hiller brings 25+ years in building materials, previously President of the Central Division and Chief Talent Officer. Implication: Planned and orderly transition; CEO Jackson framed Hiller as “the right choice to lead our operations during this transformative time.” No near-term operational disruption expected, but a leadership change mid-downturn warrants monitoring.</w:t>
      </w:r>
    </w:p>
    <w:p>
      <w:pPr>
        <w:pStyle w:val="ListBullet"/>
        <w:ind w:left="360" w:hanging="360"/>
      </w:pPr>
      <w:r>
        <w:rPr>
          <w:rFonts w:ascii="Calibri" w:hAnsi="Calibri"/>
          <w:b/>
          <w:color w:val="525866"/>
          <w:sz w:val="22"/>
        </w:rPr>
        <w:t>April 30, 2026 — $500M Share Repurchase Authorization (8-K):</w:t>
      </w:r>
      <w:r>
        <w:rPr>
          <w:rFonts w:ascii="Calibri" w:hAnsi="Calibri"/>
          <w:color w:val="525866"/>
          <w:sz w:val="22"/>
        </w:rPr>
        <w:t xml:space="preserve"> Board authorized an additional $500M in share repurchases (inclusive of $200M remaining under the April 2025 authorization). In Q1, BLDR repurchased 3.3M shares for $303M. Implication: Management is signaling conviction that the stock is undervalued; aggressive buybacks at current prices are accretive if the housing recovery materializes, but add leverage risk if the downturn deepens.</w:t>
      </w:r>
    </w:p>
    <w:p>
      <w:pPr>
        <w:pStyle w:val="ListBullet"/>
        <w:ind w:left="360" w:hanging="360"/>
      </w:pPr>
      <w:r>
        <w:rPr>
          <w:rFonts w:ascii="Calibri" w:hAnsi="Calibri"/>
          <w:b/>
          <w:color w:val="525866"/>
          <w:sz w:val="22"/>
        </w:rPr>
        <w:t>Macro — Ongoing:</w:t>
      </w:r>
      <w:r>
        <w:rPr>
          <w:rFonts w:ascii="Calibri" w:hAnsi="Calibri"/>
          <w:color w:val="525866"/>
          <w:sz w:val="22"/>
        </w:rPr>
        <w:t xml:space="preserve"> Geopolitical tensions (Middle East conflict cited on Q1 call) have contributed to elevated mortgage rates and dampened spring selling season sentiment. Lumber prices have risen since mid-December 2025 due to rising input costs, which could create a timing mismatch between cost increases and price pass-through in Q2.</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recorded in the period — all transactions are equity award grants (code A) or tax-withholding dispositions (code F/G), which are routine and non-signaling. The absence of open-market buying despite the stock trading near multi-year lows is notable but not alarming given the company’s elevated leverage and ongoing downturn.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Rush, David 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5,000</w:t>
            </w:r>
          </w:p>
        </w:tc>
        <w:tc>
          <w:tcPr>
            <w:tcW w:type="dxa" w:w="1440"/>
          </w:tcPr>
          <w:p>
            <w:r>
              <w:rPr>
                <w:rFonts w:ascii="Calibri" w:hAnsi="Calibri"/>
                <w:sz w:val="22"/>
              </w:rPr>
              <w:t>May 8, 2026</w:t>
            </w:r>
          </w:p>
        </w:tc>
        <w:tc>
          <w:tcPr>
            <w:tcW w:type="dxa" w:w="1440"/>
          </w:tcPr>
          <w:p>
            <w:r>
              <w:rPr>
                <w:rFonts w:ascii="Calibri" w:hAnsi="Calibri"/>
                <w:sz w:val="22"/>
              </w:rPr>
              <w:t>Only open-market sale in the period; no 10b5-1 plan flag in filing; discretionary</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Equity Award Grant (Code A)</w:t>
            </w:r>
          </w:p>
        </w:tc>
        <w:tc>
          <w:tcPr>
            <w:tcW w:type="dxa" w:w="1440"/>
          </w:tcPr>
          <w:p>
            <w:r>
              <w:rPr>
                <w:rFonts w:ascii="Calibri" w:hAnsi="Calibri"/>
                <w:sz w:val="22"/>
              </w:rPr>
              <w:t>2,558 each</w:t>
            </w:r>
          </w:p>
        </w:tc>
        <w:tc>
          <w:tcPr>
            <w:tcW w:type="dxa" w:w="1440"/>
          </w:tcPr>
          <w:p>
            <w:r>
              <w:rPr>
                <w:rFonts w:ascii="Calibri" w:hAnsi="Calibri"/>
                <w:sz w:val="22"/>
              </w:rPr>
              <w:t>May 14, 2026</w:t>
            </w:r>
          </w:p>
        </w:tc>
        <w:tc>
          <w:tcPr>
            <w:tcW w:type="dxa" w:w="1440"/>
          </w:tcPr>
          <w:p>
            <w:r>
              <w:rPr>
                <w:rFonts w:ascii="Calibri" w:hAnsi="Calibri"/>
                <w:sz w:val="22"/>
              </w:rPr>
              <w:t>Routine annual director equity compensation grants; non-signaling</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Equity Award Grant (Code A)</w:t>
            </w:r>
          </w:p>
        </w:tc>
        <w:tc>
          <w:tcPr>
            <w:tcW w:type="dxa" w:w="1440"/>
          </w:tcPr>
          <w:p>
            <w:r>
              <w:rPr>
                <w:rFonts w:ascii="Calibri" w:hAnsi="Calibri"/>
                <w:sz w:val="22"/>
              </w:rPr>
              <w:t>409–1,049 each</w:t>
            </w:r>
          </w:p>
        </w:tc>
        <w:tc>
          <w:tcPr>
            <w:tcW w:type="dxa" w:w="1440"/>
          </w:tcPr>
          <w:p>
            <w:r>
              <w:rPr>
                <w:rFonts w:ascii="Calibri" w:hAnsi="Calibri"/>
                <w:sz w:val="22"/>
              </w:rPr>
              <w:t>June 1, 2026</w:t>
            </w:r>
          </w:p>
        </w:tc>
        <w:tc>
          <w:tcPr>
            <w:tcW w:type="dxa" w:w="1440"/>
          </w:tcPr>
          <w:p>
            <w:r>
              <w:rPr>
                <w:rFonts w:ascii="Calibri" w:hAnsi="Calibri"/>
                <w:sz w:val="22"/>
              </w:rPr>
              <w:t>Routine director equity grants; non-signaling</w:t>
            </w:r>
          </w:p>
        </w:tc>
      </w:tr>
      <w:tr>
        <w:tc>
          <w:tcPr>
            <w:tcW w:type="dxa" w:w="1440"/>
          </w:tcPr>
          <w:p>
            <w:r>
              <w:rPr>
                <w:rFonts w:ascii="Calibri" w:hAnsi="Calibri"/>
                <w:sz w:val="22"/>
              </w:rPr>
              <w:t>Narayan, Gayatri</w:t>
            </w:r>
          </w:p>
        </w:tc>
        <w:tc>
          <w:tcPr>
            <w:tcW w:type="dxa" w:w="1440"/>
          </w:tcPr>
          <w:p>
            <w:r>
              <w:rPr>
                <w:rFonts w:ascii="Calibri" w:hAnsi="Calibri"/>
                <w:sz w:val="22"/>
              </w:rPr>
              <w:t>President — Tech &amp; Digital</w:t>
            </w:r>
          </w:p>
        </w:tc>
        <w:tc>
          <w:tcPr>
            <w:tcW w:type="dxa" w:w="1440"/>
          </w:tcPr>
          <w:p>
            <w:r>
              <w:rPr>
                <w:rFonts w:ascii="Calibri" w:hAnsi="Calibri"/>
                <w:sz w:val="22"/>
              </w:rPr>
              <w:t>Tax Withholding Disposition (Code F)</w:t>
            </w:r>
          </w:p>
        </w:tc>
        <w:tc>
          <w:tcPr>
            <w:tcW w:type="dxa" w:w="1440"/>
          </w:tcPr>
          <w:p>
            <w:r>
              <w:rPr>
                <w:rFonts w:ascii="Calibri" w:hAnsi="Calibri"/>
                <w:sz w:val="22"/>
              </w:rPr>
              <w:t>2,842</w:t>
            </w:r>
          </w:p>
        </w:tc>
        <w:tc>
          <w:tcPr>
            <w:tcW w:type="dxa" w:w="1440"/>
          </w:tcPr>
          <w:p>
            <w:r>
              <w:rPr>
                <w:rFonts w:ascii="Calibri" w:hAnsi="Calibri"/>
                <w:sz w:val="22"/>
              </w:rPr>
              <w:t>June 13, 2026</w:t>
            </w:r>
          </w:p>
        </w:tc>
        <w:tc>
          <w:tcPr>
            <w:tcW w:type="dxa" w:w="1440"/>
          </w:tcPr>
          <w:p>
            <w:r>
              <w:rPr>
                <w:rFonts w:ascii="Calibri" w:hAnsi="Calibri"/>
                <w:sz w:val="22"/>
              </w:rPr>
              <w:t>Shares withheld for tax on vesting; obligation-driven, non-signaling</w:t>
            </w:r>
          </w:p>
        </w:tc>
      </w:tr>
      <w:tr>
        <w:tc>
          <w:tcPr>
            <w:tcW w:type="dxa" w:w="1440"/>
          </w:tcPr>
          <w:p>
            <w:r>
              <w:rPr>
                <w:rFonts w:ascii="Calibri" w:hAnsi="Calibri"/>
                <w:sz w:val="22"/>
              </w:rPr>
              <w:t>Herron, Stephen J.</w:t>
            </w:r>
          </w:p>
        </w:tc>
        <w:tc>
          <w:tcPr>
            <w:tcW w:type="dxa" w:w="1440"/>
          </w:tcPr>
          <w:p>
            <w:r>
              <w:rPr>
                <w:rFonts w:ascii="Calibri" w:hAnsi="Calibri"/>
                <w:sz w:val="22"/>
              </w:rPr>
              <w:t>Chief Operating Officer</w:t>
            </w:r>
          </w:p>
        </w:tc>
        <w:tc>
          <w:tcPr>
            <w:tcW w:type="dxa" w:w="1440"/>
          </w:tcPr>
          <w:p>
            <w:r>
              <w:rPr>
                <w:rFonts w:ascii="Calibri" w:hAnsi="Calibri"/>
                <w:sz w:val="22"/>
              </w:rPr>
              <w:t>Gift/Transfer (Code G)</w:t>
            </w:r>
          </w:p>
        </w:tc>
        <w:tc>
          <w:tcPr>
            <w:tcW w:type="dxa" w:w="1440"/>
          </w:tcPr>
          <w:p>
            <w:r>
              <w:rPr>
                <w:rFonts w:ascii="Calibri" w:hAnsi="Calibri"/>
                <w:sz w:val="22"/>
              </w:rPr>
              <w:t>850</w:t>
            </w:r>
          </w:p>
        </w:tc>
        <w:tc>
          <w:tcPr>
            <w:tcW w:type="dxa" w:w="1440"/>
          </w:tcPr>
          <w:p>
            <w:r>
              <w:rPr>
                <w:rFonts w:ascii="Calibri" w:hAnsi="Calibri"/>
                <w:sz w:val="22"/>
              </w:rPr>
              <w:t>June 5, 2026</w:t>
            </w:r>
          </w:p>
        </w:tc>
        <w:tc>
          <w:tcPr>
            <w:tcW w:type="dxa" w:w="1440"/>
          </w:tcPr>
          <w:p>
            <w:r>
              <w:rPr>
                <w:rFonts w:ascii="Calibri" w:hAnsi="Calibri"/>
                <w:sz w:val="22"/>
              </w:rPr>
              <w:t>Non-market transfer (gift); non-signaling; Herron retiring Dec 31, 2026</w:t>
            </w:r>
          </w:p>
        </w:tc>
      </w:tr>
      <w:tr>
        <w:tc>
          <w:tcPr>
            <w:tcW w:type="dxa" w:w="1440"/>
          </w:tcPr>
          <w:p>
            <w:r>
              <w:rPr>
                <w:rFonts w:ascii="Calibri" w:hAnsi="Calibri"/>
                <w:sz w:val="22"/>
              </w:rPr>
              <w:t>Hiller, Michael</w:t>
            </w:r>
          </w:p>
        </w:tc>
        <w:tc>
          <w:tcPr>
            <w:tcW w:type="dxa" w:w="1440"/>
          </w:tcPr>
          <w:p>
            <w:r>
              <w:rPr>
                <w:rFonts w:ascii="Calibri" w:hAnsi="Calibri"/>
                <w:sz w:val="22"/>
              </w:rPr>
              <w:t>COO-Designate</w:t>
            </w:r>
          </w:p>
        </w:tc>
        <w:tc>
          <w:tcPr>
            <w:tcW w:type="dxa" w:w="1440"/>
          </w:tcPr>
          <w:p>
            <w:r>
              <w:rPr>
                <w:rFonts w:ascii="Calibri" w:hAnsi="Calibri"/>
                <w:sz w:val="22"/>
              </w:rPr>
              <w:t>Gift/Transfer (Code G)</w:t>
            </w:r>
          </w:p>
        </w:tc>
        <w:tc>
          <w:tcPr>
            <w:tcW w:type="dxa" w:w="1440"/>
          </w:tcPr>
          <w:p>
            <w:r>
              <w:rPr>
                <w:rFonts w:ascii="Calibri" w:hAnsi="Calibri"/>
                <w:sz w:val="22"/>
              </w:rPr>
              <w:t>900</w:t>
            </w:r>
          </w:p>
        </w:tc>
        <w:tc>
          <w:tcPr>
            <w:tcW w:type="dxa" w:w="1440"/>
          </w:tcPr>
          <w:p>
            <w:r>
              <w:rPr>
                <w:rFonts w:ascii="Calibri" w:hAnsi="Calibri"/>
                <w:sz w:val="22"/>
              </w:rPr>
              <w:t>June 4, 2026</w:t>
            </w:r>
          </w:p>
        </w:tc>
        <w:tc>
          <w:tcPr>
            <w:tcW w:type="dxa" w:w="1440"/>
          </w:tcPr>
          <w:p>
            <w:r>
              <w:rPr>
                <w:rFonts w:ascii="Calibri" w:hAnsi="Calibri"/>
                <w:sz w:val="22"/>
              </w:rPr>
              <w:t>Non-market transfer (gift); non-signaling</w:t>
            </w:r>
          </w:p>
        </w:tc>
      </w:tr>
      <w:tr>
        <w:tc>
          <w:tcPr>
            <w:tcW w:type="dxa" w:w="1440"/>
          </w:tcPr>
          <w:p>
            <w:r>
              <w:rPr>
                <w:rFonts w:ascii="Calibri" w:hAnsi="Calibri"/>
                <w:sz w:val="22"/>
              </w:rPr>
              <w:t>O’Brien, Matthew Coley</w:t>
            </w:r>
          </w:p>
        </w:tc>
        <w:tc>
          <w:tcPr>
            <w:tcW w:type="dxa" w:w="1440"/>
          </w:tcPr>
          <w:p>
            <w:r>
              <w:rPr>
                <w:rFonts w:ascii="Calibri" w:hAnsi="Calibri"/>
                <w:sz w:val="22"/>
              </w:rPr>
              <w:t>Chief Human Resources Officer</w:t>
            </w:r>
          </w:p>
        </w:tc>
        <w:tc>
          <w:tcPr>
            <w:tcW w:type="dxa" w:w="1440"/>
          </w:tcPr>
          <w:p>
            <w:r>
              <w:rPr>
                <w:rFonts w:ascii="Calibri" w:hAnsi="Calibri"/>
                <w:sz w:val="22"/>
              </w:rPr>
              <w:t>Equity Award Grant (Code A)</w:t>
            </w:r>
          </w:p>
        </w:tc>
        <w:tc>
          <w:tcPr>
            <w:tcW w:type="dxa" w:w="1440"/>
          </w:tcPr>
          <w:p>
            <w:r>
              <w:rPr>
                <w:rFonts w:ascii="Calibri" w:hAnsi="Calibri"/>
                <w:sz w:val="22"/>
              </w:rPr>
              <w:t>7,406</w:t>
            </w:r>
          </w:p>
        </w:tc>
        <w:tc>
          <w:tcPr>
            <w:tcW w:type="dxa" w:w="1440"/>
          </w:tcPr>
          <w:p>
            <w:r>
              <w:rPr>
                <w:rFonts w:ascii="Calibri" w:hAnsi="Calibri"/>
                <w:sz w:val="22"/>
              </w:rPr>
              <w:t>July 18, 2026</w:t>
            </w:r>
          </w:p>
        </w:tc>
        <w:tc>
          <w:tcPr>
            <w:tcW w:type="dxa" w:w="1440"/>
          </w:tcPr>
          <w:p>
            <w:r>
              <w:rPr>
                <w:rFonts w:ascii="Calibri" w:hAnsi="Calibri"/>
                <w:sz w:val="22"/>
              </w:rPr>
              <w:t>New hire equity grant upon appointment as CHRO; non-signaling</w:t>
            </w:r>
          </w:p>
        </w:tc>
      </w:tr>
      <w:tr>
        <w:tc>
          <w:tcPr>
            <w:tcW w:type="dxa" w:w="1440"/>
          </w:tcPr>
          <w:p>
            <w:r>
              <w:rPr>
                <w:rFonts w:ascii="Calibri" w:hAnsi="Calibri"/>
                <w:sz w:val="22"/>
              </w:rPr>
              <w:t>Vance, Todd</w:t>
            </w:r>
          </w:p>
        </w:tc>
        <w:tc>
          <w:tcPr>
            <w:tcW w:type="dxa" w:w="1440"/>
          </w:tcPr>
          <w:p>
            <w:r>
              <w:rPr>
                <w:rFonts w:ascii="Calibri" w:hAnsi="Calibri"/>
                <w:sz w:val="22"/>
              </w:rPr>
              <w:t>President — East Division</w:t>
            </w:r>
          </w:p>
        </w:tc>
        <w:tc>
          <w:tcPr>
            <w:tcW w:type="dxa" w:w="1440"/>
          </w:tcPr>
          <w:p>
            <w:r>
              <w:rPr>
                <w:rFonts w:ascii="Calibri" w:hAnsi="Calibri"/>
                <w:sz w:val="22"/>
              </w:rPr>
              <w:t>Equity Award Grant (Code A)</w:t>
            </w:r>
          </w:p>
        </w:tc>
        <w:tc>
          <w:tcPr>
            <w:tcW w:type="dxa" w:w="1440"/>
          </w:tcPr>
          <w:p>
            <w:r>
              <w:rPr>
                <w:rFonts w:ascii="Calibri" w:hAnsi="Calibri"/>
                <w:sz w:val="22"/>
              </w:rPr>
              <w:t>3,366</w:t>
            </w:r>
          </w:p>
        </w:tc>
        <w:tc>
          <w:tcPr>
            <w:tcW w:type="dxa" w:w="1440"/>
          </w:tcPr>
          <w:p>
            <w:r>
              <w:rPr>
                <w:rFonts w:ascii="Calibri" w:hAnsi="Calibri"/>
                <w:sz w:val="22"/>
              </w:rPr>
              <w:t>July 18, 2026</w:t>
            </w:r>
          </w:p>
        </w:tc>
        <w:tc>
          <w:tcPr>
            <w:tcW w:type="dxa" w:w="1440"/>
          </w:tcPr>
          <w:p>
            <w:r>
              <w:rPr>
                <w:rFonts w:ascii="Calibri" w:hAnsi="Calibri"/>
                <w:sz w:val="22"/>
              </w:rPr>
              <w:t>Routine equity grant; non-signaling</w:t>
            </w:r>
          </w:p>
        </w:tc>
      </w:tr>
      <w:tr>
        <w:tc>
          <w:tcPr>
            <w:tcW w:type="dxa" w:w="1440"/>
          </w:tcPr>
          <w:p>
            <w:r>
              <w:rPr>
                <w:rFonts w:ascii="Calibri" w:hAnsi="Calibri"/>
                <w:sz w:val="22"/>
              </w:rPr>
              <w:t>Vaughn, Paul</w:t>
            </w:r>
          </w:p>
        </w:tc>
        <w:tc>
          <w:tcPr>
            <w:tcW w:type="dxa" w:w="1440"/>
          </w:tcPr>
          <w:p>
            <w:r>
              <w:rPr>
                <w:rFonts w:ascii="Calibri" w:hAnsi="Calibri"/>
                <w:sz w:val="22"/>
              </w:rPr>
              <w:t>President — West Division</w:t>
            </w:r>
          </w:p>
        </w:tc>
        <w:tc>
          <w:tcPr>
            <w:tcW w:type="dxa" w:w="1440"/>
          </w:tcPr>
          <w:p>
            <w:r>
              <w:rPr>
                <w:rFonts w:ascii="Calibri" w:hAnsi="Calibri"/>
                <w:sz w:val="22"/>
              </w:rPr>
              <w:t>Equity Award Grant (Code A)</w:t>
            </w:r>
          </w:p>
        </w:tc>
        <w:tc>
          <w:tcPr>
            <w:tcW w:type="dxa" w:w="1440"/>
          </w:tcPr>
          <w:p>
            <w:r>
              <w:rPr>
                <w:rFonts w:ascii="Calibri" w:hAnsi="Calibri"/>
                <w:sz w:val="22"/>
              </w:rPr>
              <w:t>3,366</w:t>
            </w:r>
          </w:p>
        </w:tc>
        <w:tc>
          <w:tcPr>
            <w:tcW w:type="dxa" w:w="1440"/>
          </w:tcPr>
          <w:p>
            <w:r>
              <w:rPr>
                <w:rFonts w:ascii="Calibri" w:hAnsi="Calibri"/>
                <w:sz w:val="22"/>
              </w:rPr>
              <w:t>July 18, 2026</w:t>
            </w:r>
          </w:p>
        </w:tc>
        <w:tc>
          <w:tcPr>
            <w:tcW w:type="dxa" w:w="1440"/>
          </w:tcPr>
          <w:p>
            <w:r>
              <w:rPr>
                <w:rFonts w:ascii="Calibri" w:hAnsi="Calibri"/>
                <w:sz w:val="22"/>
              </w:rPr>
              <w:t>Routine equity grant; non-signaling</w:t>
            </w:r>
          </w:p>
        </w:tc>
      </w:tr>
    </w:tbl>
    <w:p>
      <w:r>
        <w:rPr>
          <w:rFonts w:ascii="Calibri" w:hAnsi="Calibri"/>
          <w:color w:val="525866"/>
          <w:sz w:val="22"/>
        </w:rPr>
        <w:t>Source: Insider Transaction Data (SEC Form 4 filings, April 30 – July 29, 2026). The sole open-market sale was Director David Rush selling 5,000 shares on May 8, 2026 — shortly after the Q1 earnings selloff — which is a mild negative signal but a small position relative to his ~127K share holding. No open-market buys were recorded despite the stock trading near multi-year lows.</w:t>
      </w:r>
    </w:p>
    <w:p>
      <w:r>
        <w:br w:type="page"/>
      </w:r>
    </w:p>
    <w:p>
      <w:pPr>
        <w:pStyle w:val="Heading2"/>
      </w:pPr>
      <w:r>
        <w:rPr>
          <w:rFonts w:ascii="Calibri" w:hAnsi="Calibri"/>
          <w:b/>
          <w:color w:val="3B4259"/>
          <w:sz w:val="28"/>
        </w:rPr>
        <w:t>8. Peer Commentaries — Read-Throughs from Last 60 Days</w:t>
      </w:r>
    </w:p>
    <w:p>
      <w:r>
        <w:rPr>
          <w:rFonts w:ascii="Calibri" w:hAnsi="Calibri"/>
          <w:b/>
          <w:color w:val="525866"/>
          <w:sz w:val="22"/>
        </w:rPr>
        <w:t xml:space="preserve">Key Takeaway: </w:t>
      </w:r>
      <w:r>
        <w:rPr>
          <w:rFonts w:ascii="Calibri" w:hAnsi="Calibri"/>
          <w:color w:val="525866"/>
          <w:sz w:val="22"/>
        </w:rPr>
        <w:t>Peer commentary from Q1 2026 earnings calls (May 2026) and Q2 2026 early reporters (July 2026) paints a consistent picture: the residential new construction market remains soft with no near-term recovery catalyst, specialty product pricing is under pressure across the sector, and companies are relying on cost actions and H2 seasonality to drive margin recovery — all of which are directly relevant to BLDR’s Q2 setup.</w:t>
      </w:r>
    </w:p>
    <w:p>
      <w:r>
        <w:rPr>
          <w:rFonts w:ascii="Calibri" w:hAnsi="Calibri"/>
          <w:color w:val="525866"/>
          <w:sz w:val="22"/>
        </w:rPr>
        <w:t>Note: Only commentary from peers’ Q1 2026 earnings calls (reporting on Q2 2026 outlook) and Q2 2026 earnings calls (reporting current quarter results) are included below, per the user’s instruction to exclude prior-quarter retrospective commentary.</w:t>
      </w:r>
    </w:p>
    <w:p>
      <w:pPr>
        <w:pStyle w:val="Heading3"/>
      </w:pPr>
      <w:r>
        <w:rPr>
          <w:rFonts w:ascii="Calibri" w:hAnsi="Calibri"/>
          <w:b/>
          <w:color w:val="3B4259"/>
          <w:sz w:val="24"/>
        </w:rPr>
        <w:t>8.1 LP Building Solutions (LPX) — Q1 2026 Earnings Call (May 6, 2026)</w:t>
      </w:r>
    </w:p>
    <w:p>
      <w:r>
        <w:rPr>
          <w:rFonts w:ascii="Calibri" w:hAnsi="Calibri"/>
          <w:b/>
          <w:color w:val="525866"/>
          <w:sz w:val="22"/>
        </w:rPr>
        <w:t xml:space="preserve">BLDR Read-Through: </w:t>
      </w:r>
      <w:r>
        <w:rPr>
          <w:rFonts w:ascii="Calibri" w:hAnsi="Calibri"/>
          <w:color w:val="525866"/>
          <w:sz w:val="22"/>
        </w:rPr>
        <w:t>Negative. LPX tempered its H2 2026 expectations, citing eroding market indicators (falling consumer confidence, rising interest rates, high input costs) and OSB prices falling back below EBITDA breakeven. This is a direct read-through for BLDR’s commodity and specialty product margin outlook.</w:t>
      </w:r>
    </w:p>
    <w:p>
      <w:pPr>
        <w:pStyle w:val="ListBullet"/>
        <w:ind w:left="360" w:hanging="360"/>
      </w:pPr>
      <w:r>
        <w:rPr>
          <w:rFonts w:ascii="Calibri" w:hAnsi="Calibri"/>
          <w:b/>
          <w:color w:val="525866"/>
          <w:sz w:val="22"/>
        </w:rPr>
        <w:t xml:space="preserve">Housing market not recovering: </w:t>
      </w:r>
      <w:r>
        <w:rPr>
          <w:rFonts w:ascii="Calibri" w:hAnsi="Calibri"/>
          <w:color w:val="525866"/>
          <w:sz w:val="22"/>
        </w:rPr>
        <w:t>LPX stated that market indicators “are not improving, but they continue to erode,” with “high input costs, falling consumer confidence and increasing interest rates magnifying uncertainty about demand in the back half of the year.” Management explicitly tempered H2 expectations, a direct negative read-through for BLDR’s assumption of a stronger H2.</w:t>
      </w:r>
    </w:p>
    <w:p>
      <w:pPr>
        <w:pStyle w:val="ListBullet"/>
        <w:ind w:left="360" w:hanging="360"/>
      </w:pPr>
      <w:r>
        <w:rPr>
          <w:rFonts w:ascii="Calibri" w:hAnsi="Calibri"/>
          <w:b/>
          <w:color w:val="525866"/>
          <w:sz w:val="22"/>
        </w:rPr>
        <w:t xml:space="preserve">OSB prices below breakeven: </w:t>
      </w:r>
      <w:r>
        <w:rPr>
          <w:rFonts w:ascii="Calibri" w:hAnsi="Calibri"/>
          <w:color w:val="525866"/>
          <w:sz w:val="22"/>
        </w:rPr>
        <w:t>LPX noted that OSB prices fell back below EBITDA breakeven levels in the Southeast and Southwest, with Q2 OSB EBITDA expected to be a loss of ~$10M. While BLDR is not an OSB producer, commodity deflation in structural panels is a headwind for BLDR’s lumber &amp; sheet goods segment and signals weak demand from homebuilders.</w:t>
      </w:r>
    </w:p>
    <w:p>
      <w:pPr>
        <w:pStyle w:val="ListBullet"/>
        <w:ind w:left="360" w:hanging="360"/>
      </w:pPr>
      <w:r>
        <w:rPr>
          <w:rFonts w:ascii="Calibri" w:hAnsi="Calibri"/>
          <w:b/>
          <w:color w:val="525866"/>
          <w:sz w:val="22"/>
        </w:rPr>
        <w:t xml:space="preserve">Siding volumes down ~10% YoY in Q2: </w:t>
      </w:r>
      <w:r>
        <w:rPr>
          <w:rFonts w:ascii="Calibri" w:hAnsi="Calibri"/>
          <w:color w:val="525866"/>
          <w:sz w:val="22"/>
        </w:rPr>
        <w:t>LPX guided Q2 Siding revenue of $435M–$445M with EBITDA of $115M–$120M, implying ~10% volume decline YoY. This is consistent with BLDR’s specialty product (siding) headwinds.</w:t>
      </w:r>
    </w:p>
    <w:p>
      <w:pPr>
        <w:pStyle w:val="ListBullet"/>
        <w:ind w:left="360" w:hanging="360"/>
      </w:pPr>
      <w:r>
        <w:rPr>
          <w:rFonts w:ascii="Calibri" w:hAnsi="Calibri"/>
          <w:b/>
          <w:color w:val="525866"/>
          <w:sz w:val="22"/>
        </w:rPr>
        <w:t xml:space="preserve">Vinyl siding price increases (6%–12%) are a tailwind for SmartSide: </w:t>
      </w:r>
      <w:r>
        <w:rPr>
          <w:rFonts w:ascii="Calibri" w:hAnsi="Calibri"/>
          <w:color w:val="525866"/>
          <w:sz w:val="22"/>
        </w:rPr>
        <w:t>LPX noted that vinyl manufacturers are raising prices 6%–12%, which narrows the price spread and makes SmartSide more attractive. This is a modest positive for BLDR’s specialty siding volumes but does not offset the broader demand weakness.</w:t>
      </w:r>
    </w:p>
    <w:p>
      <w:pPr>
        <w:pStyle w:val="ListBullet"/>
        <w:ind w:left="360" w:hanging="360"/>
      </w:pPr>
      <w:r>
        <w:rPr>
          <w:rFonts w:ascii="Calibri" w:hAnsi="Calibri"/>
          <w:b/>
          <w:color w:val="525866"/>
          <w:sz w:val="22"/>
        </w:rPr>
        <w:t xml:space="preserve">Oil/input cost headwind: </w:t>
      </w:r>
      <w:r>
        <w:rPr>
          <w:rFonts w:ascii="Calibri" w:hAnsi="Calibri"/>
          <w:color w:val="525866"/>
          <w:sz w:val="22"/>
        </w:rPr>
        <w:t>LPX estimated a $15M–$20M impact from oil-based raw material costs in H2 2026. This is consistent with BLDR’s commentary about fuel/input cost pass-through timing creating a margin headwind.</w:t>
      </w:r>
    </w:p>
    <w:p>
      <w:pPr>
        <w:pStyle w:val="Heading3"/>
      </w:pPr>
      <w:r>
        <w:rPr>
          <w:rFonts w:ascii="Calibri" w:hAnsi="Calibri"/>
          <w:b/>
          <w:color w:val="3B4259"/>
          <w:sz w:val="24"/>
        </w:rPr>
        <w:t>8.2 Owens Corning (OC) — Q1 2026 Earnings Call (May 6, 2026)</w:t>
      </w:r>
    </w:p>
    <w:p>
      <w:r>
        <w:rPr>
          <w:rFonts w:ascii="Calibri" w:hAnsi="Calibri"/>
          <w:b/>
          <w:color w:val="525866"/>
          <w:sz w:val="22"/>
        </w:rPr>
        <w:t xml:space="preserve">BLDR Read-Through: </w:t>
      </w:r>
      <w:r>
        <w:rPr>
          <w:rFonts w:ascii="Calibri" w:hAnsi="Calibri"/>
          <w:color w:val="525866"/>
          <w:sz w:val="22"/>
        </w:rPr>
        <w:t>Mixed. OC confirmed that discretionary remodel and residential new construction remain under pressure in Q2, but noted a strong March starts print (1.5M SAAR) that could benefit late Q2. The key negative read-through is that Q2 is the quarter of maximum inflation pressure before price increases take hold — directly analogous to BLDR’s specialty product margin situation.</w:t>
      </w:r>
    </w:p>
    <w:p>
      <w:pPr>
        <w:pStyle w:val="ListBullet"/>
        <w:ind w:left="360" w:hanging="360"/>
      </w:pPr>
      <w:r>
        <w:rPr>
          <w:rFonts w:ascii="Calibri" w:hAnsi="Calibri"/>
          <w:b/>
          <w:color w:val="525866"/>
          <w:sz w:val="22"/>
        </w:rPr>
        <w:t xml:space="preserve">Residential new construction and discretionary remodel under pressure in Q2: </w:t>
      </w:r>
      <w:r>
        <w:rPr>
          <w:rFonts w:ascii="Calibri" w:hAnsi="Calibri"/>
          <w:color w:val="525866"/>
          <w:sz w:val="22"/>
        </w:rPr>
        <w:t>OC expects “discretionary remodel activity and residential new construction in the U.S. to remain under pressure” in Q2, with North American residential Insulation revenue “down low single digits.” This is a direct negative read-through for BLDR’s single-family and R&amp;R volumes.</w:t>
      </w:r>
    </w:p>
    <w:p>
      <w:pPr>
        <w:pStyle w:val="ListBullet"/>
        <w:ind w:left="360" w:hanging="360"/>
      </w:pPr>
      <w:r>
        <w:rPr>
          <w:rFonts w:ascii="Calibri" w:hAnsi="Calibri"/>
          <w:b/>
          <w:color w:val="525866"/>
          <w:sz w:val="22"/>
        </w:rPr>
        <w:t xml:space="preserve">Q2 is the peak inflation pressure quarter: </w:t>
      </w:r>
      <w:r>
        <w:rPr>
          <w:rFonts w:ascii="Calibri" w:hAnsi="Calibri"/>
          <w:color w:val="525866"/>
          <w:sz w:val="22"/>
        </w:rPr>
        <w:t>OC explicitly stated “Q2 is the quarter where we’re feeling the most pressure of the inflation coming through without corresponding price increases to offset it,” with ~$60M in Iran conflict-related costs and ongoing asphalt/freight inflation. This mirrors BLDR’s commentary about fuel/input cost timing creating a margin headwind in Q2.</w:t>
      </w:r>
    </w:p>
    <w:p>
      <w:pPr>
        <w:pStyle w:val="ListBullet"/>
        <w:ind w:left="360" w:hanging="360"/>
      </w:pPr>
      <w:r>
        <w:rPr>
          <w:rFonts w:ascii="Calibri" w:hAnsi="Calibri"/>
          <w:b/>
          <w:color w:val="525866"/>
          <w:sz w:val="22"/>
        </w:rPr>
        <w:t xml:space="preserve">Strong March starts print could benefit late Q2: </w:t>
      </w:r>
      <w:r>
        <w:rPr>
          <w:rFonts w:ascii="Calibri" w:hAnsi="Calibri"/>
          <w:color w:val="525866"/>
          <w:sz w:val="22"/>
        </w:rPr>
        <w:t>OC noted the “strong print we saw in March for new starts at around 1.5 million starts for the month” and expects “to see the benefit of that start to come through late in Q2.” This is a modest positive read-through for BLDR’s Q2 revenue, though June data (895K SAAR single-family) suggests the momentum did not sustain.</w:t>
      </w:r>
    </w:p>
    <w:p>
      <w:pPr>
        <w:pStyle w:val="ListBullet"/>
        <w:ind w:left="360" w:hanging="360"/>
      </w:pPr>
      <w:r>
        <w:rPr>
          <w:rFonts w:ascii="Calibri" w:hAnsi="Calibri"/>
          <w:b/>
          <w:color w:val="525866"/>
          <w:sz w:val="22"/>
        </w:rPr>
        <w:t xml:space="preserve">Doors market remains soft: </w:t>
      </w:r>
      <w:r>
        <w:rPr>
          <w:rFonts w:ascii="Calibri" w:hAnsi="Calibri"/>
          <w:color w:val="525866"/>
          <w:sz w:val="22"/>
        </w:rPr>
        <w:t>OC’s Doors business faces “low levels of discretionary remodel and new construction activity,” directly relevant to BLDR’s Windows, Doors &amp; Millwork segment ($0.96B consensus for Q2).</w:t>
      </w:r>
    </w:p>
    <w:p>
      <w:pPr>
        <w:pStyle w:val="ListBullet"/>
        <w:ind w:left="360" w:hanging="360"/>
      </w:pPr>
      <w:r>
        <w:rPr>
          <w:rFonts w:ascii="Calibri" w:hAnsi="Calibri"/>
          <w:b/>
          <w:color w:val="525866"/>
          <w:sz w:val="22"/>
        </w:rPr>
        <w:t xml:space="preserve">Price increases gaining traction in H2: </w:t>
      </w:r>
      <w:r>
        <w:rPr>
          <w:rFonts w:ascii="Calibri" w:hAnsi="Calibri"/>
          <w:color w:val="525866"/>
          <w:sz w:val="22"/>
        </w:rPr>
        <w:t>OC announced a June 1 price increase in Roofing and expects “good realization” in H2. This is a positive read-through for BLDR’s ability to pass through specialty product cost increases in the back half of 2026.</w:t>
      </w:r>
    </w:p>
    <w:p>
      <w:pPr>
        <w:pStyle w:val="Heading3"/>
      </w:pPr>
      <w:r>
        <w:rPr>
          <w:rFonts w:ascii="Calibri" w:hAnsi="Calibri"/>
          <w:b/>
          <w:color w:val="3B4259"/>
          <w:sz w:val="24"/>
        </w:rPr>
        <w:t>8.3 Trex Company (TREX) — Q1 2026 Earnings Call (May 7, 2026)</w:t>
      </w:r>
    </w:p>
    <w:p>
      <w:r>
        <w:rPr>
          <w:rFonts w:ascii="Calibri" w:hAnsi="Calibri"/>
          <w:b/>
          <w:color w:val="525866"/>
          <w:sz w:val="22"/>
        </w:rPr>
        <w:t xml:space="preserve">BLDR Read-Through: </w:t>
      </w:r>
      <w:r>
        <w:rPr>
          <w:rFonts w:ascii="Calibri" w:hAnsi="Calibri"/>
          <w:color w:val="525866"/>
          <w:sz w:val="22"/>
        </w:rPr>
        <w:t>Mildly negative. Trex maintained its full-year guidance based on a “flat to down” R&amp;R market assumption, with the high end of the consumer market holding up but lower-end consumers still struggling. The channel inventory picture (30–40 days, lean) is a modest positive for sell-in momentum in Q2–Q3.</w:t>
      </w:r>
    </w:p>
    <w:p>
      <w:pPr>
        <w:pStyle w:val="ListBullet"/>
        <w:ind w:left="360" w:hanging="360"/>
      </w:pPr>
      <w:r>
        <w:rPr>
          <w:rFonts w:ascii="Calibri" w:hAnsi="Calibri"/>
          <w:b/>
          <w:color w:val="525866"/>
          <w:sz w:val="22"/>
        </w:rPr>
        <w:t xml:space="preserve">R&amp;R market flat to down for full year: </w:t>
      </w:r>
      <w:r>
        <w:rPr>
          <w:rFonts w:ascii="Calibri" w:hAnsi="Calibri"/>
          <w:color w:val="525866"/>
          <w:sz w:val="22"/>
        </w:rPr>
        <w:t>Trex maintained guidance based on “continued expectation for the broader repair and remodel market to be flat to down this year,” with “some of the back half being better than the first half.” This is consistent with BLDR’s R&amp;R assumption (down 1% for FY2026) and does not provide an upside catalyst.</w:t>
      </w:r>
    </w:p>
    <w:p>
      <w:pPr>
        <w:pStyle w:val="ListBullet"/>
        <w:ind w:left="360" w:hanging="360"/>
      </w:pPr>
      <w:r>
        <w:rPr>
          <w:rFonts w:ascii="Calibri" w:hAnsi="Calibri"/>
          <w:b/>
          <w:color w:val="525866"/>
          <w:sz w:val="22"/>
        </w:rPr>
        <w:t xml:space="preserve">Lower-end consumers still struggling: </w:t>
      </w:r>
      <w:r>
        <w:rPr>
          <w:rFonts w:ascii="Calibri" w:hAnsi="Calibri"/>
          <w:color w:val="525866"/>
          <w:sz w:val="22"/>
        </w:rPr>
        <w:t>Trex noted “consumers on the lower end are still struggling right now,” while “the high end has been doing really, really well.” This bifurcation is relevant to BLDR’s R&amp;R exposure, which skews toward professional builders rather than luxury consumers.</w:t>
      </w:r>
    </w:p>
    <w:p>
      <w:pPr>
        <w:pStyle w:val="ListBullet"/>
        <w:ind w:left="360" w:hanging="360"/>
      </w:pPr>
      <w:r>
        <w:rPr>
          <w:rFonts w:ascii="Calibri" w:hAnsi="Calibri"/>
          <w:b/>
          <w:color w:val="525866"/>
          <w:sz w:val="22"/>
        </w:rPr>
        <w:t xml:space="preserve">Channel inventory lean — positive for sell-in: </w:t>
      </w:r>
      <w:r>
        <w:rPr>
          <w:rFonts w:ascii="Calibri" w:hAnsi="Calibri"/>
          <w:color w:val="525866"/>
          <w:sz w:val="22"/>
        </w:rPr>
        <w:t>Trex noted channel inventory at “30 to 40 days,” the lighter end, which should drive “more impetus for more sell-in as we progress through the second and third quarter.” This is a modest positive read-through for BLDR’s specialty product volumes in Q2.</w:t>
      </w:r>
    </w:p>
    <w:p>
      <w:pPr>
        <w:pStyle w:val="ListBullet"/>
        <w:ind w:left="360" w:hanging="360"/>
      </w:pPr>
      <w:r>
        <w:rPr>
          <w:rFonts w:ascii="Calibri" w:hAnsi="Calibri"/>
          <w:b/>
          <w:color w:val="525866"/>
          <w:sz w:val="22"/>
        </w:rPr>
        <w:t xml:space="preserve">Contractor backlogs 6–10 weeks: </w:t>
      </w:r>
      <w:r>
        <w:rPr>
          <w:rFonts w:ascii="Calibri" w:hAnsi="Calibri"/>
          <w:color w:val="525866"/>
          <w:sz w:val="22"/>
        </w:rPr>
        <w:t>Trex reported contractor backlogs of “6 to 8 weeks” on the low end and “8 to 10 weeks” in some areas, suggesting active job sites but not a surge in new project starts.</w:t>
      </w:r>
    </w:p>
    <w:p>
      <w:pPr>
        <w:pStyle w:val="ListBullet"/>
        <w:ind w:left="360" w:hanging="360"/>
      </w:pPr>
      <w:r>
        <w:rPr>
          <w:rFonts w:ascii="Calibri" w:hAnsi="Calibri"/>
          <w:b/>
          <w:color w:val="525866"/>
          <w:sz w:val="22"/>
        </w:rPr>
        <w:t xml:space="preserve">Minimal input cost exposure: </w:t>
      </w:r>
      <w:r>
        <w:rPr>
          <w:rFonts w:ascii="Calibri" w:hAnsi="Calibri"/>
          <w:color w:val="525866"/>
          <w:sz w:val="22"/>
        </w:rPr>
        <w:t>Trex noted it is “minimally exposed to input cost inflation” due to its recycled content model. This is a contrast to BLDR, which faces direct fuel, lumber, and specialty product input cost headwinds.</w:t>
      </w:r>
    </w:p>
    <w:p>
      <w:pPr>
        <w:pStyle w:val="Heading3"/>
      </w:pPr>
      <w:r>
        <w:rPr>
          <w:rFonts w:ascii="Calibri" w:hAnsi="Calibri"/>
          <w:b/>
          <w:color w:val="3B4259"/>
          <w:sz w:val="24"/>
        </w:rPr>
        <w:t>8.4 Fortune Brands Innovations (FBIN) — Q1 2026 Earnings Call (May 7, 2026)</w:t>
      </w:r>
    </w:p>
    <w:p>
      <w:r>
        <w:rPr>
          <w:rFonts w:ascii="Calibri" w:hAnsi="Calibri"/>
          <w:b/>
          <w:color w:val="525866"/>
          <w:sz w:val="22"/>
        </w:rPr>
        <w:t xml:space="preserve">BLDR Read-Through: </w:t>
      </w:r>
      <w:r>
        <w:rPr>
          <w:rFonts w:ascii="Calibri" w:hAnsi="Calibri"/>
          <w:color w:val="525866"/>
          <w:sz w:val="22"/>
        </w:rPr>
        <w:t>Negative. FBIN cut its full-year sales guide to “down low single digits” and cited “increased market uncertainty, especially for single-family new construction” and “an uncertain start to the spring selling season” — language nearly identical to BLDR’s Q1 commentary. Total inflation (including tariffs) was raised to $180M, with price/cost expected to remain negative through Q3.</w:t>
      </w:r>
    </w:p>
    <w:p>
      <w:pPr>
        <w:pStyle w:val="ListBullet"/>
        <w:ind w:left="360" w:hanging="360"/>
      </w:pPr>
      <w:r>
        <w:rPr>
          <w:rFonts w:ascii="Calibri" w:hAnsi="Calibri"/>
          <w:b/>
          <w:color w:val="525866"/>
          <w:sz w:val="22"/>
        </w:rPr>
        <w:t xml:space="preserve">Spring selling season uncertain: </w:t>
      </w:r>
      <w:r>
        <w:rPr>
          <w:rFonts w:ascii="Calibri" w:hAnsi="Calibri"/>
          <w:color w:val="525866"/>
          <w:sz w:val="22"/>
        </w:rPr>
        <w:t>FBIN cited “increased market uncertainty, especially for single-family new construction” and “an uncertain start to the spring selling season,” directly corroborating BLDR’s Q1 commentary about geopolitical uncertainty undermining the spring season.</w:t>
      </w:r>
    </w:p>
    <w:p>
      <w:pPr>
        <w:pStyle w:val="ListBullet"/>
        <w:ind w:left="360" w:hanging="360"/>
      </w:pPr>
      <w:r>
        <w:rPr>
          <w:rFonts w:ascii="Calibri" w:hAnsi="Calibri"/>
          <w:b/>
          <w:color w:val="525866"/>
          <w:sz w:val="22"/>
        </w:rPr>
        <w:t xml:space="preserve">Full-year sales guide cut to down low single digits: </w:t>
      </w:r>
      <w:r>
        <w:rPr>
          <w:rFonts w:ascii="Calibri" w:hAnsi="Calibri"/>
          <w:color w:val="525866"/>
          <w:sz w:val="22"/>
        </w:rPr>
        <w:t>FBIN lowered its FY2026 sales guide to “down low single digits” (from flat), driven by volume reduction. This is consistent with BLDR’s revised starts assumptions and suggests the demand environment deteriorated further after Q4 2025 earnings.</w:t>
      </w:r>
    </w:p>
    <w:p>
      <w:pPr>
        <w:pStyle w:val="ListBullet"/>
        <w:ind w:left="360" w:hanging="360"/>
      </w:pPr>
      <w:r>
        <w:rPr>
          <w:rFonts w:ascii="Calibri" w:hAnsi="Calibri"/>
          <w:b/>
          <w:color w:val="525866"/>
          <w:sz w:val="22"/>
        </w:rPr>
        <w:t xml:space="preserve">Total inflation raised to $180M (from $140M): </w:t>
      </w:r>
      <w:r>
        <w:rPr>
          <w:rFonts w:ascii="Calibri" w:hAnsi="Calibri"/>
          <w:color w:val="525866"/>
          <w:sz w:val="22"/>
        </w:rPr>
        <w:t>FBIN raised its total inflation estimate (tariffs + commodities + freight) to $180M, with the incremental $40M driven by commodities and freight. This is a direct read-through for BLDR’s specialty product and fuel cost headwinds in Q2.</w:t>
      </w:r>
    </w:p>
    <w:p>
      <w:pPr>
        <w:pStyle w:val="ListBullet"/>
        <w:ind w:left="360" w:hanging="360"/>
      </w:pPr>
      <w:r>
        <w:rPr>
          <w:rFonts w:ascii="Calibri" w:hAnsi="Calibri"/>
          <w:b/>
          <w:color w:val="525866"/>
          <w:sz w:val="22"/>
        </w:rPr>
        <w:t xml:space="preserve">Price/cost negative through Q3, improving in Q4: </w:t>
      </w:r>
      <w:r>
        <w:rPr>
          <w:rFonts w:ascii="Calibri" w:hAnsi="Calibri"/>
          <w:color w:val="525866"/>
          <w:sz w:val="22"/>
        </w:rPr>
        <w:t>FBIN expects price/cost to “still be negative as we move through the year,” with year-over-year operating margin improvement “not until fourth quarter.” This is consistent with BLDR’s wide H1/H2 EBITDA split and the expectation that margin recovery is a back-half story.</w:t>
      </w:r>
    </w:p>
    <w:p>
      <w:pPr>
        <w:pStyle w:val="ListBullet"/>
        <w:ind w:left="360" w:hanging="360"/>
      </w:pPr>
      <w:r>
        <w:rPr>
          <w:rFonts w:ascii="Calibri" w:hAnsi="Calibri"/>
          <w:b/>
          <w:color w:val="525866"/>
          <w:sz w:val="22"/>
        </w:rPr>
        <w:t xml:space="preserve">Q2 sequential margin improvement of 200–250 bps: </w:t>
      </w:r>
      <w:r>
        <w:rPr>
          <w:rFonts w:ascii="Calibri" w:hAnsi="Calibri"/>
          <w:color w:val="525866"/>
          <w:sz w:val="22"/>
        </w:rPr>
        <w:t>FBIN guided Q2 operating margin improvement of “200 to 250 basis points first quarter to second quarter” driven by seasonal volume uptick. This is a modest positive read-through for BLDR’s Q2 EBITDA margin vs. Q1’s 6.5%.</w:t>
      </w:r>
    </w:p>
    <w:p>
      <w:pPr>
        <w:pStyle w:val="ListBullet"/>
        <w:ind w:left="360" w:hanging="360"/>
      </w:pPr>
      <w:r>
        <w:rPr>
          <w:rFonts w:ascii="Calibri" w:hAnsi="Calibri"/>
          <w:b/>
          <w:color w:val="525866"/>
          <w:sz w:val="22"/>
        </w:rPr>
        <w:t xml:space="preserve">Cost savings program doubled to $70M annualized: </w:t>
      </w:r>
      <w:r>
        <w:rPr>
          <w:rFonts w:ascii="Calibri" w:hAnsi="Calibri"/>
          <w:color w:val="525866"/>
          <w:sz w:val="22"/>
        </w:rPr>
        <w:t>FBIN increased its annualized cost savings target from $35M to $70M, with $15M expected in 2026. This mirrors BLDR’s $100M cost action program and suggests sector-wide cost discipline is a key margin lever in the downturn.</w:t>
      </w:r>
    </w:p>
    <w:p>
      <w:pPr>
        <w:pStyle w:val="Heading3"/>
      </w:pPr>
      <w:r>
        <w:rPr>
          <w:rFonts w:ascii="Calibri" w:hAnsi="Calibri"/>
          <w:b/>
          <w:color w:val="3B4259"/>
          <w:sz w:val="24"/>
        </w:rPr>
        <w:t>8.5 Masco Corporation (MAS) — Q2 2026 Earnings Call (July 29, 2026)</w:t>
      </w:r>
    </w:p>
    <w:p>
      <w:r>
        <w:rPr>
          <w:rFonts w:ascii="Calibri" w:hAnsi="Calibri"/>
          <w:b/>
          <w:color w:val="525866"/>
          <w:sz w:val="22"/>
        </w:rPr>
        <w:t xml:space="preserve">BLDR Read-Through: </w:t>
      </w:r>
      <w:r>
        <w:rPr>
          <w:rFonts w:ascii="Calibri" w:hAnsi="Calibri"/>
          <w:color w:val="525866"/>
          <w:sz w:val="22"/>
        </w:rPr>
        <w:t>Mixed but cautiously constructive. MAS reported Q2 results that were broadly in line (ex-tariff refunds), raised full-year EPS guidance, and noted that the “upper income consumer continues to hang in there pretty strongly.” However, DIY paint sales fell high single digits and the macro/geopolitical environment “remains dynamic and uncertain” — the tariff refund windfall ($95M in Q2) is MAS-specific and not a read-through for BLDR.</w:t>
      </w:r>
    </w:p>
    <w:p>
      <w:pPr>
        <w:pStyle w:val="ListBullet"/>
        <w:ind w:left="360" w:hanging="360"/>
      </w:pPr>
      <w:r>
        <w:rPr>
          <w:rFonts w:ascii="Calibri" w:hAnsi="Calibri"/>
          <w:b/>
          <w:color w:val="525866"/>
          <w:sz w:val="22"/>
        </w:rPr>
        <w:t xml:space="preserve">Macro environment remains uncertain: </w:t>
      </w:r>
      <w:r>
        <w:rPr>
          <w:rFonts w:ascii="Calibri" w:hAnsi="Calibri"/>
          <w:color w:val="525866"/>
          <w:sz w:val="22"/>
        </w:rPr>
        <w:t>MAS noted that “uncertainty in the macroeconomic and geopolitical environment remains” and that long-term R&amp;R drivers (home equity, aging housing stock, pent-up demand) “remain firmly in place.” This is consistent with BLDR’s cautious near-term outlook while maintaining long-term conviction.</w:t>
      </w:r>
    </w:p>
    <w:p>
      <w:pPr>
        <w:pStyle w:val="ListBullet"/>
        <w:ind w:left="360" w:hanging="360"/>
      </w:pPr>
      <w:r>
        <w:rPr>
          <w:rFonts w:ascii="Calibri" w:hAnsi="Calibri"/>
          <w:b/>
          <w:color w:val="525866"/>
          <w:sz w:val="22"/>
        </w:rPr>
        <w:t xml:space="preserve">Pro paint growing mid-single digits, DIY down high single digits: </w:t>
      </w:r>
      <w:r>
        <w:rPr>
          <w:rFonts w:ascii="Calibri" w:hAnsi="Calibri"/>
          <w:color w:val="525866"/>
          <w:sz w:val="22"/>
        </w:rPr>
        <w:t>The bifurcation between professional and DIY channels is relevant to BLDR — BLDR’s customer base is predominantly professional builders, which is the stronger channel. However, the overall paint market weakness signals soft R&amp;R activity.</w:t>
      </w:r>
    </w:p>
    <w:p>
      <w:pPr>
        <w:pStyle w:val="ListBullet"/>
        <w:ind w:left="360" w:hanging="360"/>
      </w:pPr>
      <w:r>
        <w:rPr>
          <w:rFonts w:ascii="Calibri" w:hAnsi="Calibri"/>
          <w:b/>
          <w:color w:val="525866"/>
          <w:sz w:val="22"/>
        </w:rPr>
        <w:t xml:space="preserve">Commodity inflation mid-single digits in H2: </w:t>
      </w:r>
      <w:r>
        <w:rPr>
          <w:rFonts w:ascii="Calibri" w:hAnsi="Calibri"/>
          <w:color w:val="525866"/>
          <w:sz w:val="22"/>
        </w:rPr>
        <w:t>MAS guided “mid-single digit” commodity inflation for H2 2026 in both plumbing and decorative architectural segments, driven by copper, metals, and oil. This is consistent with BLDR’s fuel and specialty product input cost headwinds.</w:t>
      </w:r>
    </w:p>
    <w:p>
      <w:pPr>
        <w:pStyle w:val="ListBullet"/>
        <w:ind w:left="360" w:hanging="360"/>
      </w:pPr>
      <w:r>
        <w:rPr>
          <w:rFonts w:ascii="Calibri" w:hAnsi="Calibri"/>
          <w:b/>
          <w:color w:val="525866"/>
          <w:sz w:val="22"/>
        </w:rPr>
        <w:t xml:space="preserve">Tariff refund windfall is MAS-specific: </w:t>
      </w:r>
      <w:r>
        <w:rPr>
          <w:rFonts w:ascii="Calibri" w:hAnsi="Calibri"/>
          <w:color w:val="525866"/>
          <w:sz w:val="22"/>
        </w:rPr>
        <w:t>MAS received ~$95M in net tariff refunds in Q2 (from a Supreme Court ruling), which drove the EPS beat and guidance raise. This is not a read-through for BLDR, which does not have comparable tariff refund exposure.</w:t>
      </w:r>
    </w:p>
    <w:p>
      <w:pPr>
        <w:pStyle w:val="ListBullet"/>
        <w:ind w:left="360" w:hanging="360"/>
      </w:pPr>
      <w:r>
        <w:rPr>
          <w:rFonts w:ascii="Calibri" w:hAnsi="Calibri"/>
          <w:b/>
          <w:color w:val="525866"/>
          <w:sz w:val="22"/>
        </w:rPr>
        <w:t xml:space="preserve">Upper-income consumer resilient: </w:t>
      </w:r>
      <w:r>
        <w:rPr>
          <w:rFonts w:ascii="Calibri" w:hAnsi="Calibri"/>
          <w:color w:val="525866"/>
          <w:sz w:val="22"/>
        </w:rPr>
        <w:t>MAS noted the “upper income consumer continues to hang in there pretty strongly,” supporting luxury plumbing and wellness products. This is a modest positive for BLDR’s value-added and installed products serving higher-end homebuilders.</w:t>
      </w:r>
    </w:p>
    <w:p>
      <w:pPr>
        <w:pStyle w:val="Heading3"/>
      </w:pPr>
      <w:r>
        <w:rPr>
          <w:rFonts w:ascii="Calibri" w:hAnsi="Calibri"/>
          <w:b/>
          <w:color w:val="3B4259"/>
          <w:sz w:val="24"/>
        </w:rPr>
        <w:t>8.6 Armstrong World Industries (AWI) — Q2 2026 Earnings Call (July 28, 2026)</w:t>
      </w:r>
    </w:p>
    <w:p>
      <w:r>
        <w:rPr>
          <w:rFonts w:ascii="Calibri" w:hAnsi="Calibri"/>
          <w:b/>
          <w:color w:val="525866"/>
          <w:sz w:val="22"/>
        </w:rPr>
        <w:t xml:space="preserve">BLDR Read-Through: </w:t>
      </w:r>
      <w:r>
        <w:rPr>
          <w:rFonts w:ascii="Calibri" w:hAnsi="Calibri"/>
          <w:color w:val="525866"/>
          <w:sz w:val="22"/>
        </w:rPr>
        <w:t>Neutral to mildly positive. AWI reported record Q2 net sales and EBITDA, raised full-year guidance, and noted “continued flattish market conditions” — but AWI’s commercial/institutional end market exposure (data centers, healthcare, transportation) is very different from BLDR’s residential focus. The key read-through is that companies with strong operational execution and differentiated products can outperform even in muted markets.</w:t>
      </w:r>
    </w:p>
    <w:p>
      <w:pPr>
        <w:pStyle w:val="ListBullet"/>
        <w:ind w:left="360" w:hanging="360"/>
      </w:pPr>
      <w:r>
        <w:rPr>
          <w:rFonts w:ascii="Calibri" w:hAnsi="Calibri"/>
          <w:b/>
          <w:color w:val="525866"/>
          <w:sz w:val="22"/>
        </w:rPr>
        <w:t xml:space="preserve">Market conditions “continued flattish”: </w:t>
      </w:r>
      <w:r>
        <w:rPr>
          <w:rFonts w:ascii="Calibri" w:hAnsi="Calibri"/>
          <w:color w:val="525866"/>
          <w:sz w:val="22"/>
        </w:rPr>
        <w:t>AWI described Q2 market conditions as “continued flattish” and “similar to what we experienced in the first quarter,” with “ongoing macroeconomic uncertainty.” This is consistent with BLDR’s cautious macro outlook, though AWI’s commercial end markets are more resilient than residential.</w:t>
      </w:r>
    </w:p>
    <w:p>
      <w:pPr>
        <w:pStyle w:val="ListBullet"/>
        <w:ind w:left="360" w:hanging="360"/>
      </w:pPr>
      <w:r>
        <w:rPr>
          <w:rFonts w:ascii="Calibri" w:hAnsi="Calibri"/>
          <w:b/>
          <w:color w:val="525866"/>
          <w:sz w:val="22"/>
        </w:rPr>
        <w:t xml:space="preserve">Record results despite muted markets: </w:t>
      </w:r>
      <w:r>
        <w:rPr>
          <w:rFonts w:ascii="Calibri" w:hAnsi="Calibri"/>
          <w:color w:val="525866"/>
          <w:sz w:val="22"/>
        </w:rPr>
        <w:t>AWI achieved record net sales (+11% YoY) and adjusted EBITDA (+8% YoY) through pricing power (6% AUV growth in Mineral Fiber), operational productivity, and strategic acquisitions. This demonstrates that sector-wide market weakness does not preclude strong execution — a benchmark for BLDR’s own cost action and share gain narrative.</w:t>
      </w:r>
    </w:p>
    <w:p>
      <w:pPr>
        <w:pStyle w:val="ListBullet"/>
        <w:ind w:left="360" w:hanging="360"/>
      </w:pPr>
      <w:r>
        <w:rPr>
          <w:rFonts w:ascii="Calibri" w:hAnsi="Calibri"/>
          <w:b/>
          <w:color w:val="525866"/>
          <w:sz w:val="22"/>
        </w:rPr>
        <w:t xml:space="preserve">Flight to quality in commercial spaces: </w:t>
      </w:r>
      <w:r>
        <w:rPr>
          <w:rFonts w:ascii="Calibri" w:hAnsi="Calibri"/>
          <w:color w:val="525866"/>
          <w:sz w:val="22"/>
        </w:rPr>
        <w:t>AWI noted “the count of projects being down, but the value of the project is up,” reflecting a “flight to quality.” This is a modest positive read-through for BLDR’s value-added and manufactured products, which command higher margins and serve more complex builds.</w:t>
      </w:r>
    </w:p>
    <w:p>
      <w:pPr>
        <w:pStyle w:val="ListBullet"/>
        <w:ind w:left="360" w:hanging="360"/>
      </w:pPr>
      <w:r>
        <w:rPr>
          <w:rFonts w:ascii="Calibri" w:hAnsi="Calibri"/>
          <w:b/>
          <w:color w:val="525866"/>
          <w:sz w:val="22"/>
        </w:rPr>
        <w:t xml:space="preserve">Input cost inflation and price actions: </w:t>
      </w:r>
      <w:r>
        <w:rPr>
          <w:rFonts w:ascii="Calibri" w:hAnsi="Calibri"/>
          <w:color w:val="525866"/>
          <w:sz w:val="22"/>
        </w:rPr>
        <w:t>AWI implemented “price actions and disciplined cost control” to address rising freight, raw materials, and energy costs, and announced August pricing actions for steel costs. This is consistent with BLDR’s pass-through strategy for fuel and specialty product input costs.</w:t>
      </w:r>
    </w:p>
    <w:p>
      <w:pPr>
        <w:pStyle w:val="ListBullet"/>
        <w:ind w:left="360" w:hanging="360"/>
      </w:pPr>
      <w:r>
        <w:rPr>
          <w:rFonts w:ascii="Calibri" w:hAnsi="Calibri"/>
          <w:b/>
          <w:color w:val="525866"/>
          <w:sz w:val="22"/>
        </w:rPr>
        <w:t xml:space="preserve">Raised full-year guidance: </w:t>
      </w:r>
      <w:r>
        <w:rPr>
          <w:rFonts w:ascii="Calibri" w:hAnsi="Calibri"/>
          <w:color w:val="525866"/>
          <w:sz w:val="22"/>
        </w:rPr>
        <w:t>AWI raised its FY2026 guidance midpoints across all key metrics (net sales growth 9%–11%, EBITDA growth 9%–12%, EPS growth 12%–15%). This is a positive signal for the broader building products sector but is driven by AWI’s commercial/institutional mix rather than residential recovery.</w:t>
      </w:r>
    </w:p>
    <w:p>
      <w:r>
        <w:rPr>
          <w:rFonts w:ascii="Calibri" w:hAnsi="Calibri"/>
          <w:color w:val="525866"/>
          <w:sz w:val="22"/>
        </w:rPr>
        <w:t>Sources: LPX Q1 2026 Earnings Call Transcript (May 6, 2026); OC Q1 2026 Earnings Call Transcript (May 6, 2026); TREX Q1 2026 Earnings Call Transcript (May 7, 2026); FBIN Q1 2026 Earnings Call Transcript (May 7, 2026); MAS Q2 2026 Earnings Call Transcript (July 29, 2026); AWI Q2 2026 Earnings Call Transcript (July 28,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