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Builders FirstSource (BLDR)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Builders FirstSource, Inc.</w:t>
            </w:r>
          </w:p>
        </w:tc>
      </w:tr>
      <w:tr>
        <w:tc>
          <w:tcPr>
            <w:tcW w:type="dxa" w:w="4320"/>
          </w:tcPr>
          <w:p>
            <w:r>
              <w:rPr>
                <w:rFonts w:ascii="Calibri" w:hAnsi="Calibri"/>
                <w:b/>
                <w:sz w:val="22"/>
              </w:rPr>
              <w:t>Ticker</w:t>
            </w:r>
          </w:p>
        </w:tc>
        <w:tc>
          <w:tcPr>
            <w:tcW w:type="dxa" w:w="4320"/>
          </w:tcPr>
          <w:p>
            <w:r>
              <w:rPr>
                <w:rFonts w:ascii="Calibri" w:hAnsi="Calibri"/>
                <w:sz w:val="22"/>
              </w:rPr>
              <w:t>BLDR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9:00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XHB (SPDR S&amp;P Homebuilders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skewed to the downside — consensus has been cut aggressively since the Q1 miss but the bar may still be too high given ongoing specialty-product margin pressure and a housing market that deteriorated further through Q2; the single biggest swing factor is whether gross margin stabilizes or continues to compress.</w:t>
      </w:r>
    </w:p>
    <w:p>
      <w:r>
        <w:rPr>
          <w:rFonts w:ascii="Calibri" w:hAnsi="Calibri"/>
          <w:color w:val="525866"/>
          <w:sz w:val="22"/>
        </w:rPr>
        <w:t xml:space="preserve">Heading into BLDR's Q2 2026 print, the bar has been meaningfully reset after the Q1 shock — adjusted EPS consensus has collapsed from ~$1.24 at the time of the Q1 call to ~$0.74 today, and revenue estimates have drifted modestly lower to ~$3.92B against management's $3.75B–$4.05B guidance range — yet the stock's 14% decline since April 30 suggests the market is still pricing in further downside risk rather than a clean beat. </w:t>
      </w:r>
      <w:r>
        <w:rPr>
          <w:rFonts w:ascii="Calibri" w:hAnsi="Calibri"/>
          <w:b/>
          <w:color w:val="525866"/>
          <w:sz w:val="22"/>
        </w:rPr>
        <w:t>Management's tone on the Q1 call was notably cautious</w:t>
      </w:r>
      <w:r>
        <w:rPr>
          <w:rFonts w:ascii="Calibri" w:hAnsi="Calibri"/>
          <w:color w:val="525866"/>
          <w:sz w:val="22"/>
        </w:rPr>
        <w:t xml:space="preserve">: the full-year EBITDA guide was slashed to $1.1B–$1.5B (from $1.625B–$1.675B prior), single-family and multifamily starts assumptions were revised to down ~2.5% (from flat), and multifamily recovery was pushed to 2027 — a posture that has not been formally revised since. Estimate revisions have tracked guidance lower but the wide guidance range ($400M EBITDA spread for the full year) leaves significant uncertainty about where within the band Q2 will land. The stock trades at ~9.8x NTM EV/EBITDA, a discount to its recent history and near trough multiples, suggesting the market is not pricing in a recovery — but also that a clean beat on gross margin could drive a sharp re-rating. The key wildcard is </w:t>
      </w:r>
      <w:r>
        <w:rPr>
          <w:rFonts w:ascii="Calibri" w:hAnsi="Calibri"/>
          <w:b/>
          <w:color w:val="525866"/>
          <w:sz w:val="22"/>
        </w:rPr>
        <w:t>specialty-product pricing</w:t>
      </w:r>
      <w:r>
        <w:rPr>
          <w:rFonts w:ascii="Calibri" w:hAnsi="Calibri"/>
          <w:color w:val="525866"/>
          <w:sz w:val="22"/>
        </w:rPr>
        <w:t>: this was the biggest Q1 surprise to the downside, and any signal that the category has stabilized — or conversely, deteriorated further — will be the primary driver of the stock's reaction on July 30.</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revenue sits near the midpoint of guidance and EBITDA estimates are below the midpoint, leaving room for a beat on cost execution; gross margin is the bigger swing factor, with any stabilization above 28% likely to be read positively.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$3.287B</w:t>
            </w:r>
          </w:p>
        </w:tc>
        <w:tc>
          <w:tcPr>
            <w:tcW w:type="dxa" w:w="1234"/>
          </w:tcPr>
          <w:p>
            <w:r>
              <w:rPr>
                <w:rFonts w:ascii="Calibri" w:hAnsi="Calibri"/>
                <w:sz w:val="22"/>
              </w:rPr>
              <w:t>$4.234B</w:t>
            </w:r>
          </w:p>
        </w:tc>
        <w:tc>
          <w:tcPr>
            <w:tcW w:type="dxa" w:w="1234"/>
          </w:tcPr>
          <w:p>
            <w:r>
              <w:rPr>
                <w:rFonts w:ascii="Calibri" w:hAnsi="Calibri"/>
                <w:sz w:val="22"/>
              </w:rPr>
              <w:t>$3.920B</w:t>
            </w:r>
          </w:p>
        </w:tc>
        <w:tc>
          <w:tcPr>
            <w:tcW w:type="dxa" w:w="1234"/>
          </w:tcPr>
          <w:p>
            <w:r>
              <w:rPr>
                <w:rFonts w:ascii="Calibri" w:hAnsi="Calibri"/>
                <w:b/>
                <w:color w:val="E5484D"/>
                <w:sz w:val="22"/>
              </w:rPr>
              <w:t>-7.4%</w:t>
            </w:r>
          </w:p>
        </w:tc>
        <w:tc>
          <w:tcPr>
            <w:tcW w:type="dxa" w:w="1234"/>
          </w:tcPr>
          <w:p>
            <w:r>
              <w:rPr>
                <w:rFonts w:ascii="Calibri" w:hAnsi="Calibri"/>
                <w:sz w:val="22"/>
              </w:rPr>
              <w:t>$3.75B – $4.05B</w:t>
            </w:r>
          </w:p>
        </w:tc>
        <w:tc>
          <w:tcPr>
            <w:tcW w:type="dxa" w:w="1234"/>
          </w:tcPr>
          <w:p>
            <w:r>
              <w:rPr>
                <w:rFonts w:ascii="Calibri" w:hAnsi="Calibri"/>
                <w:sz w:val="22"/>
              </w:rPr>
              <w:t>-1.0% vs. $3.90B mid</w:t>
            </w:r>
          </w:p>
        </w:tc>
      </w:tr>
      <w:tr>
        <w:tc>
          <w:tcPr>
            <w:tcW w:type="dxa" w:w="1234"/>
          </w:tcPr>
          <w:p>
            <w:r>
              <w:rPr>
                <w:rFonts w:ascii="Calibri" w:hAnsi="Calibri"/>
                <w:sz w:val="22"/>
              </w:rPr>
              <w:t>Adj. EBITDA ($M)</w:t>
            </w:r>
          </w:p>
        </w:tc>
        <w:tc>
          <w:tcPr>
            <w:tcW w:type="dxa" w:w="1234"/>
          </w:tcPr>
          <w:p>
            <w:r>
              <w:rPr>
                <w:rFonts w:ascii="Calibri" w:hAnsi="Calibri"/>
                <w:sz w:val="22"/>
              </w:rPr>
              <w:t>$213.8M</w:t>
            </w:r>
          </w:p>
        </w:tc>
        <w:tc>
          <w:tcPr>
            <w:tcW w:type="dxa" w:w="1234"/>
          </w:tcPr>
          <w:p>
            <w:r>
              <w:rPr>
                <w:rFonts w:ascii="Calibri" w:hAnsi="Calibri"/>
                <w:sz w:val="22"/>
              </w:rPr>
              <w:t>$506.1M</w:t>
            </w:r>
          </w:p>
        </w:tc>
        <w:tc>
          <w:tcPr>
            <w:tcW w:type="dxa" w:w="1234"/>
          </w:tcPr>
          <w:p>
            <w:r>
              <w:rPr>
                <w:rFonts w:ascii="Calibri" w:hAnsi="Calibri"/>
                <w:sz w:val="22"/>
              </w:rPr>
              <w:t>$331.6M</w:t>
            </w:r>
          </w:p>
        </w:tc>
        <w:tc>
          <w:tcPr>
            <w:tcW w:type="dxa" w:w="1234"/>
          </w:tcPr>
          <w:p>
            <w:r>
              <w:rPr>
                <w:rFonts w:ascii="Calibri" w:hAnsi="Calibri"/>
                <w:b/>
                <w:color w:val="E5484D"/>
                <w:sz w:val="22"/>
              </w:rPr>
              <w:t>-34.5%</w:t>
            </w:r>
          </w:p>
        </w:tc>
        <w:tc>
          <w:tcPr>
            <w:tcW w:type="dxa" w:w="1234"/>
          </w:tcPr>
          <w:p>
            <w:r>
              <w:rPr>
                <w:rFonts w:ascii="Calibri" w:hAnsi="Calibri"/>
                <w:sz w:val="22"/>
              </w:rPr>
              <w:t>$300M – $350M</w:t>
            </w:r>
          </w:p>
        </w:tc>
        <w:tc>
          <w:tcPr>
            <w:tcW w:type="dxa" w:w="1234"/>
          </w:tcPr>
          <w:p>
            <w:r>
              <w:rPr>
                <w:rFonts w:ascii="Calibri" w:hAnsi="Calibri"/>
                <w:sz w:val="22"/>
              </w:rPr>
              <w:t>-1.0% vs. $325M mid</w:t>
            </w:r>
          </w:p>
        </w:tc>
      </w:tr>
      <w:tr>
        <w:tc>
          <w:tcPr>
            <w:tcW w:type="dxa" w:w="1234"/>
          </w:tcPr>
          <w:p>
            <w:r>
              <w:rPr>
                <w:rFonts w:ascii="Calibri" w:hAnsi="Calibri"/>
                <w:sz w:val="22"/>
              </w:rPr>
              <w:t>Gross Profit ($B)</w:t>
            </w:r>
          </w:p>
        </w:tc>
        <w:tc>
          <w:tcPr>
            <w:tcW w:type="dxa" w:w="1234"/>
          </w:tcPr>
          <w:p>
            <w:r>
              <w:rPr>
                <w:rFonts w:ascii="Calibri" w:hAnsi="Calibri"/>
                <w:sz w:val="22"/>
              </w:rPr>
              <w:t>$929.0M</w:t>
            </w:r>
          </w:p>
        </w:tc>
        <w:tc>
          <w:tcPr>
            <w:tcW w:type="dxa" w:w="1234"/>
          </w:tcPr>
          <w:p>
            <w:r>
              <w:rPr>
                <w:rFonts w:ascii="Calibri" w:hAnsi="Calibri"/>
                <w:sz w:val="22"/>
              </w:rPr>
              <w:t>$1.299B</w:t>
            </w:r>
          </w:p>
        </w:tc>
        <w:tc>
          <w:tcPr>
            <w:tcW w:type="dxa" w:w="1234"/>
          </w:tcPr>
          <w:p>
            <w:r>
              <w:rPr>
                <w:rFonts w:ascii="Calibri" w:hAnsi="Calibri"/>
                <w:sz w:val="22"/>
              </w:rPr>
              <w:t>$1.107B</w:t>
            </w:r>
          </w:p>
        </w:tc>
        <w:tc>
          <w:tcPr>
            <w:tcW w:type="dxa" w:w="1234"/>
          </w:tcPr>
          <w:p>
            <w:r>
              <w:rPr>
                <w:rFonts w:ascii="Calibri" w:hAnsi="Calibri"/>
                <w:b/>
                <w:color w:val="E5484D"/>
                <w:sz w:val="22"/>
              </w:rPr>
              <w:t>-14.8%</w:t>
            </w:r>
          </w:p>
        </w:tc>
        <w:tc>
          <w:tcPr>
            <w:tcW w:type="dxa" w:w="1234"/>
          </w:tcPr>
          <w:p>
            <w:r>
              <w:rPr>
                <w:rFonts w:ascii="Calibri" w:hAnsi="Calibri"/>
                <w:sz w:val="22"/>
              </w:rPr>
              <w:t>27.5%–29.0% GM (FY)</w:t>
            </w:r>
          </w:p>
        </w:tc>
        <w:tc>
          <w:tcPr>
            <w:tcW w:type="dxa" w:w="1234"/>
          </w:tcPr>
          <w:p>
            <w:r>
              <w:rPr>
                <w:rFonts w:ascii="Calibri" w:hAnsi="Calibri"/>
                <w:sz w:val="22"/>
              </w:rPr>
              <w:t>N/A — no Q2-specific GM guide</w:t>
            </w:r>
          </w:p>
        </w:tc>
      </w:tr>
      <w:tr>
        <w:tc>
          <w:tcPr>
            <w:tcW w:type="dxa" w:w="1234"/>
          </w:tcPr>
          <w:p>
            <w:r>
              <w:rPr>
                <w:rFonts w:ascii="Calibri" w:hAnsi="Calibri"/>
                <w:sz w:val="22"/>
              </w:rPr>
              <w:t>Adj. EPS — Diluted ($)</w:t>
            </w:r>
          </w:p>
        </w:tc>
        <w:tc>
          <w:tcPr>
            <w:tcW w:type="dxa" w:w="1234"/>
          </w:tcPr>
          <w:p>
            <w:r>
              <w:rPr>
                <w:rFonts w:ascii="Calibri" w:hAnsi="Calibri"/>
                <w:sz w:val="22"/>
              </w:rPr>
              <w:t>$0.27</w:t>
            </w:r>
          </w:p>
        </w:tc>
        <w:tc>
          <w:tcPr>
            <w:tcW w:type="dxa" w:w="1234"/>
          </w:tcPr>
          <w:p>
            <w:r>
              <w:rPr>
                <w:rFonts w:ascii="Calibri" w:hAnsi="Calibri"/>
                <w:sz w:val="22"/>
              </w:rPr>
              <w:t>$2.38</w:t>
            </w:r>
          </w:p>
        </w:tc>
        <w:tc>
          <w:tcPr>
            <w:tcW w:type="dxa" w:w="1234"/>
          </w:tcPr>
          <w:p>
            <w:r>
              <w:rPr>
                <w:rFonts w:ascii="Calibri" w:hAnsi="Calibri"/>
                <w:sz w:val="22"/>
              </w:rPr>
              <w:t>$1.23</w:t>
            </w:r>
          </w:p>
        </w:tc>
        <w:tc>
          <w:tcPr>
            <w:tcW w:type="dxa" w:w="1234"/>
          </w:tcPr>
          <w:p>
            <w:r>
              <w:rPr>
                <w:rFonts w:ascii="Calibri" w:hAnsi="Calibri"/>
                <w:b/>
                <w:color w:val="E5484D"/>
                <w:sz w:val="22"/>
              </w:rPr>
              <w:t>-48.3%</w:t>
            </w:r>
          </w:p>
        </w:tc>
        <w:tc>
          <w:tcPr>
            <w:tcW w:type="dxa" w:w="1234"/>
          </w:tcPr>
          <w:p>
            <w:r>
              <w:rPr>
                <w:rFonts w:ascii="Calibri" w:hAnsi="Calibri"/>
                <w:sz w:val="22"/>
              </w:rPr>
              <w:t>N/A — no Q2-specific EPS guide</w:t>
            </w:r>
          </w:p>
        </w:tc>
        <w:tc>
          <w:tcPr>
            <w:tcW w:type="dxa" w:w="1234"/>
          </w:tcPr>
          <w:p>
            <w:r>
              <w:rPr>
                <w:rFonts w:ascii="Calibri" w:hAnsi="Calibri"/>
                <w:sz w:val="22"/>
              </w:rPr>
              <w:t>N/A</w:t>
            </w:r>
          </w:p>
        </w:tc>
      </w:tr>
      <w:tr>
        <w:tc>
          <w:tcPr>
            <w:tcW w:type="dxa" w:w="1234"/>
          </w:tcPr>
          <w:p>
            <w:r>
              <w:rPr>
                <w:rFonts w:ascii="Calibri" w:hAnsi="Calibri"/>
                <w:sz w:val="22"/>
              </w:rPr>
              <w:t>Value-Added Products ($B)</w:t>
            </w:r>
          </w:p>
        </w:tc>
        <w:tc>
          <w:tcPr>
            <w:tcW w:type="dxa" w:w="1234"/>
          </w:tcPr>
          <w:p>
            <w:r>
              <w:rPr>
                <w:rFonts w:ascii="Calibri" w:hAnsi="Calibri"/>
                <w:sz w:val="22"/>
              </w:rPr>
              <w:t>$1.588B</w:t>
            </w:r>
          </w:p>
        </w:tc>
        <w:tc>
          <w:tcPr>
            <w:tcW w:type="dxa" w:w="1234"/>
          </w:tcPr>
          <w:p>
            <w:r>
              <w:rPr>
                <w:rFonts w:ascii="Calibri" w:hAnsi="Calibri"/>
                <w:sz w:val="22"/>
              </w:rPr>
              <w:t>$1.983B</w:t>
            </w:r>
          </w:p>
        </w:tc>
        <w:tc>
          <w:tcPr>
            <w:tcW w:type="dxa" w:w="1234"/>
          </w:tcPr>
          <w:p>
            <w:r>
              <w:rPr>
                <w:rFonts w:ascii="Calibri" w:hAnsi="Calibri"/>
                <w:sz w:val="22"/>
              </w:rPr>
              <w:t>$1.830B</w:t>
            </w:r>
          </w:p>
        </w:tc>
        <w:tc>
          <w:tcPr>
            <w:tcW w:type="dxa" w:w="1234"/>
          </w:tcPr>
          <w:p>
            <w:r>
              <w:rPr>
                <w:rFonts w:ascii="Calibri" w:hAnsi="Calibri"/>
                <w:b/>
                <w:color w:val="E5484D"/>
                <w:sz w:val="22"/>
              </w:rPr>
              <w:t>-7.7%</w:t>
            </w:r>
          </w:p>
        </w:tc>
        <w:tc>
          <w:tcPr>
            <w:tcW w:type="dxa" w:w="1234"/>
          </w:tcPr>
          <w:p>
            <w:r>
              <w:rPr>
                <w:rFonts w:ascii="Calibri" w:hAnsi="Calibri"/>
                <w:sz w:val="22"/>
              </w:rPr>
              <w:t>N/A — no segment-level guide</w:t>
            </w:r>
          </w:p>
        </w:tc>
        <w:tc>
          <w:tcPr>
            <w:tcW w:type="dxa" w:w="1234"/>
          </w:tcPr>
          <w:p>
            <w:r>
              <w:rPr>
                <w:rFonts w:ascii="Calibri" w:hAnsi="Calibri"/>
                <w:sz w:val="22"/>
              </w:rPr>
              <w:t>N/A</w:t>
            </w:r>
          </w:p>
        </w:tc>
      </w:tr>
      <w:tr>
        <w:tc>
          <w:tcPr>
            <w:tcW w:type="dxa" w:w="1234"/>
          </w:tcPr>
          <w:p>
            <w:r>
              <w:rPr>
                <w:rFonts w:ascii="Calibri" w:hAnsi="Calibri"/>
                <w:sz w:val="22"/>
              </w:rPr>
              <w:t>Free Cash Flow ($M) — Co. Defined</w:t>
            </w:r>
          </w:p>
        </w:tc>
        <w:tc>
          <w:tcPr>
            <w:tcW w:type="dxa" w:w="1234"/>
          </w:tcPr>
          <w:p>
            <w:r>
              <w:rPr>
                <w:rFonts w:ascii="Calibri" w:hAnsi="Calibri"/>
                <w:sz w:val="22"/>
              </w:rPr>
              <w:t>$42.7M</w:t>
            </w:r>
          </w:p>
        </w:tc>
        <w:tc>
          <w:tcPr>
            <w:tcW w:type="dxa" w:w="1234"/>
          </w:tcPr>
          <w:p>
            <w:r>
              <w:rPr>
                <w:rFonts w:ascii="Calibri" w:hAnsi="Calibri"/>
                <w:sz w:val="22"/>
              </w:rPr>
              <w:t>$255.0M</w:t>
            </w:r>
          </w:p>
        </w:tc>
        <w:tc>
          <w:tcPr>
            <w:tcW w:type="dxa" w:w="1234"/>
          </w:tcPr>
          <w:p>
            <w:r>
              <w:rPr>
                <w:rFonts w:ascii="Calibri" w:hAnsi="Calibri"/>
                <w:sz w:val="22"/>
              </w:rPr>
              <w:t>$121.1M</w:t>
            </w:r>
          </w:p>
        </w:tc>
        <w:tc>
          <w:tcPr>
            <w:tcW w:type="dxa" w:w="1234"/>
          </w:tcPr>
          <w:p>
            <w:r>
              <w:rPr>
                <w:rFonts w:ascii="Calibri" w:hAnsi="Calibri"/>
                <w:b/>
                <w:color w:val="E5484D"/>
                <w:sz w:val="22"/>
              </w:rPr>
              <w:t>-52.5%</w:t>
            </w:r>
          </w:p>
        </w:tc>
        <w:tc>
          <w:tcPr>
            <w:tcW w:type="dxa" w:w="1234"/>
          </w:tcPr>
          <w:p>
            <w:r>
              <w:rPr>
                <w:rFonts w:ascii="Calibri" w:hAnsi="Calibri"/>
                <w:sz w:val="22"/>
              </w:rPr>
              <w:t>$400M–$500M (FY)</w:t>
            </w:r>
          </w:p>
        </w:tc>
        <w:tc>
          <w:tcPr>
            <w:tcW w:type="dxa" w:w="1234"/>
          </w:tcPr>
          <w:p>
            <w:r>
              <w:rPr>
                <w:rFonts w:ascii="Calibri" w:hAnsi="Calibri"/>
                <w:sz w:val="22"/>
              </w:rPr>
              <w:t>N/A — FY guide only</w:t>
            </w:r>
          </w:p>
        </w:tc>
      </w:tr>
    </w:tbl>
    <w:p>
      <w:r>
        <w:rPr>
          <w:rFonts w:ascii="Calibri" w:hAnsi="Calibri"/>
          <w:color w:val="525866"/>
          <w:sz w:val="22"/>
        </w:rPr>
        <w:t>Sources: Visible Alpha Consensus and Actuals Data (Sales, EPS — Diluted — operating, EBITDA — operating, Gross profit/(loss), Value added products, Free Cash flow (FCF) — Co. defined). Q2 2026 guidance from BLDR Q1 2026 Earnings Call transcript (April 30, 2026) and Earnings Release.</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2025</w:t>
            </w:r>
          </w:p>
        </w:tc>
        <w:tc>
          <w:tcPr>
            <w:tcW w:type="dxa" w:w="1728"/>
          </w:tcPr>
          <w:p>
            <w:r>
              <w:rPr>
                <w:rFonts w:ascii="Calibri" w:hAnsi="Calibri"/>
                <w:sz w:val="22"/>
              </w:rPr>
              <w:t>$3.658B</w:t>
            </w:r>
          </w:p>
        </w:tc>
        <w:tc>
          <w:tcPr>
            <w:tcW w:type="dxa" w:w="1728"/>
          </w:tcPr>
          <w:p>
            <w:r>
              <w:rPr>
                <w:rFonts w:ascii="Calibri" w:hAnsi="Calibri"/>
                <w:sz w:val="22"/>
              </w:rPr>
              <w:t>$3.675B</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$4.234B</w:t>
            </w:r>
          </w:p>
        </w:tc>
        <w:tc>
          <w:tcPr>
            <w:tcW w:type="dxa" w:w="1728"/>
          </w:tcPr>
          <w:p>
            <w:r>
              <w:rPr>
                <w:rFonts w:ascii="Calibri" w:hAnsi="Calibri"/>
                <w:sz w:val="22"/>
              </w:rPr>
              <w:t>$4.266B</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$3.941B</w:t>
            </w:r>
          </w:p>
        </w:tc>
        <w:tc>
          <w:tcPr>
            <w:tcW w:type="dxa" w:w="1728"/>
          </w:tcPr>
          <w:p>
            <w:r>
              <w:rPr>
                <w:rFonts w:ascii="Calibri" w:hAnsi="Calibri"/>
                <w:sz w:val="22"/>
              </w:rPr>
              <w:t>$3.841B</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$3.358B</w:t>
            </w:r>
          </w:p>
        </w:tc>
        <w:tc>
          <w:tcPr>
            <w:tcW w:type="dxa" w:w="1728"/>
          </w:tcPr>
          <w:p>
            <w:r>
              <w:rPr>
                <w:rFonts w:ascii="Calibri" w:hAnsi="Calibri"/>
                <w:sz w:val="22"/>
              </w:rPr>
              <w:t>$3.455B</w:t>
            </w:r>
          </w:p>
        </w:tc>
        <w:tc>
          <w:tcPr>
            <w:tcW w:type="dxa" w:w="1728"/>
          </w:tcPr>
          <w:p>
            <w:r>
              <w:rPr>
                <w:rFonts w:ascii="Calibri" w:hAnsi="Calibri"/>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$3.287B</w:t>
            </w:r>
          </w:p>
        </w:tc>
        <w:tc>
          <w:tcPr>
            <w:tcW w:type="dxa" w:w="1728"/>
          </w:tcPr>
          <w:p>
            <w:r>
              <w:rPr>
                <w:rFonts w:ascii="Calibri" w:hAnsi="Calibri"/>
                <w:sz w:val="22"/>
              </w:rPr>
              <w:t>$3.171B</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$4.232B</w:t>
            </w:r>
          </w:p>
        </w:tc>
        <w:tc>
          <w:tcPr>
            <w:tcW w:type="dxa" w:w="1728"/>
          </w:tcPr>
          <w:p>
            <w:r>
              <w:rPr>
                <w:rFonts w:ascii="Calibri" w:hAnsi="Calibri"/>
                <w:sz w:val="22"/>
              </w:rPr>
              <w:t>$4.436B</w:t>
            </w:r>
          </w:p>
        </w:tc>
        <w:tc>
          <w:tcPr>
            <w:tcW w:type="dxa" w:w="1728"/>
          </w:tcPr>
          <w:p>
            <w:r>
              <w:rPr>
                <w:rFonts w:ascii="Calibri" w:hAnsi="Calibri"/>
                <w:sz w:val="22"/>
              </w:rPr>
              <w:t>-4.6%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$3.820B</w:t>
            </w:r>
          </w:p>
        </w:tc>
        <w:tc>
          <w:tcPr>
            <w:tcW w:type="dxa" w:w="1728"/>
          </w:tcPr>
          <w:p>
            <w:r>
              <w:rPr>
                <w:rFonts w:ascii="Calibri" w:hAnsi="Calibri"/>
                <w:sz w:val="22"/>
              </w:rPr>
              <w:t>$3.882B</w:t>
            </w:r>
          </w:p>
        </w:tc>
        <w:tc>
          <w:tcPr>
            <w:tcW w:type="dxa" w:w="1728"/>
          </w:tcPr>
          <w:p>
            <w:r>
              <w:rPr>
                <w:rFonts w:ascii="Calibri" w:hAnsi="Calibri"/>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Q1 2024 (est. ref.)</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2025</w:t>
            </w:r>
          </w:p>
        </w:tc>
        <w:tc>
          <w:tcPr>
            <w:tcW w:type="dxa" w:w="1728"/>
          </w:tcPr>
          <w:p>
            <w:r>
              <w:rPr>
                <w:rFonts w:ascii="Calibri" w:hAnsi="Calibri"/>
                <w:sz w:val="22"/>
              </w:rPr>
              <w:t>$369.2M</w:t>
            </w:r>
          </w:p>
        </w:tc>
        <w:tc>
          <w:tcPr>
            <w:tcW w:type="dxa" w:w="1728"/>
          </w:tcPr>
          <w:p>
            <w:r>
              <w:rPr>
                <w:rFonts w:ascii="Calibri" w:hAnsi="Calibri"/>
                <w:sz w:val="22"/>
              </w:rPr>
              <w:t>$375.9M</w:t>
            </w:r>
          </w:p>
        </w:tc>
        <w:tc>
          <w:tcPr>
            <w:tcW w:type="dxa" w:w="1728"/>
          </w:tcPr>
          <w:p>
            <w:r>
              <w:rPr>
                <w:rFonts w:ascii="Calibri" w:hAnsi="Calibri"/>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$506.1M</w:t>
            </w:r>
          </w:p>
        </w:tc>
        <w:tc>
          <w:tcPr>
            <w:tcW w:type="dxa" w:w="1728"/>
          </w:tcPr>
          <w:p>
            <w:r>
              <w:rPr>
                <w:rFonts w:ascii="Calibri" w:hAnsi="Calibri"/>
                <w:sz w:val="22"/>
              </w:rPr>
              <w:t>$498.3M</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$433.7M</w:t>
            </w:r>
          </w:p>
        </w:tc>
        <w:tc>
          <w:tcPr>
            <w:tcW w:type="dxa" w:w="1728"/>
          </w:tcPr>
          <w:p>
            <w:r>
              <w:rPr>
                <w:rFonts w:ascii="Calibri" w:hAnsi="Calibri"/>
                <w:sz w:val="22"/>
              </w:rPr>
              <w:t>$405.8M</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$274.9M</w:t>
            </w:r>
          </w:p>
        </w:tc>
        <w:tc>
          <w:tcPr>
            <w:tcW w:type="dxa" w:w="1728"/>
          </w:tcPr>
          <w:p>
            <w:r>
              <w:rPr>
                <w:rFonts w:ascii="Calibri" w:hAnsi="Calibri"/>
                <w:sz w:val="22"/>
              </w:rPr>
              <w:t>$336.6M</w:t>
            </w:r>
          </w:p>
        </w:tc>
        <w:tc>
          <w:tcPr>
            <w:tcW w:type="dxa" w:w="1728"/>
          </w:tcPr>
          <w:p>
            <w:r>
              <w:rPr>
                <w:rFonts w:ascii="Calibri" w:hAnsi="Calibri"/>
                <w:sz w:val="22"/>
              </w:rPr>
              <w:t>-18.3%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$213.8M</w:t>
            </w:r>
          </w:p>
        </w:tc>
        <w:tc>
          <w:tcPr>
            <w:tcW w:type="dxa" w:w="1728"/>
          </w:tcPr>
          <w:p>
            <w:r>
              <w:rPr>
                <w:rFonts w:ascii="Calibri" w:hAnsi="Calibri"/>
                <w:sz w:val="22"/>
              </w:rPr>
              <w:t>$204.4M</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$626.5M</w:t>
            </w:r>
          </w:p>
        </w:tc>
        <w:tc>
          <w:tcPr>
            <w:tcW w:type="dxa" w:w="1728"/>
          </w:tcPr>
          <w:p>
            <w:r>
              <w:rPr>
                <w:rFonts w:ascii="Calibri" w:hAnsi="Calibri"/>
                <w:sz w:val="22"/>
              </w:rPr>
              <w:t>$610.4M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$493.6M</w:t>
            </w:r>
          </w:p>
        </w:tc>
        <w:tc>
          <w:tcPr>
            <w:tcW w:type="dxa" w:w="1728"/>
          </w:tcPr>
          <w:p>
            <w:r>
              <w:rPr>
                <w:rFonts w:ascii="Calibri" w:hAnsi="Calibri"/>
                <w:sz w:val="22"/>
              </w:rPr>
              <w:t>$480.3M</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2024 (est. ref.)</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BLDR has beaten Adj. EBITDA consensus in 5 of the last 7 reported quarters, but the two misses (Q4 2025 and Q1 2025) were severe — the Q4 2025 miss of -18% was the largest in the window. Revenue beats are less consistent, with 4 misses in 7 quarters. The Q1 2026 EBITDA beat (+4.6%) came despite a revenue beat, suggesting cost execution is the more reliable lever.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materially cut at the Q1 2026 earnings call on April 30 and has not been formally revised since; management's tone remains cautious, with no post-earnings conference appearances that changed the financial outlook, though the COO succession announcement in May signals an orderly leadership transition rather than strategic disruption.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$3.75B – $4.05B</w:t>
            </w:r>
          </w:p>
        </w:tc>
        <w:tc>
          <w:tcPr>
            <w:tcW w:type="dxa" w:w="1728"/>
          </w:tcPr>
          <w:p>
            <w:r>
              <w:rPr>
                <w:rFonts w:ascii="Calibri" w:hAnsi="Calibri"/>
                <w:sz w:val="22"/>
              </w:rPr>
              <w:t>—</w:t>
            </w:r>
          </w:p>
        </w:tc>
        <w:tc>
          <w:tcPr>
            <w:tcW w:type="dxa" w:w="1728"/>
          </w:tcPr>
          <w:p>
            <w:r>
              <w:rPr>
                <w:rFonts w:ascii="Calibri" w:hAnsi="Calibri"/>
                <w:sz w:val="22"/>
              </w:rPr>
              <w:t>$3.92B</w:t>
            </w:r>
          </w:p>
        </w:tc>
        <w:tc>
          <w:tcPr>
            <w:tcW w:type="dxa" w:w="1728"/>
          </w:tcPr>
          <w:p>
            <w:r>
              <w:rPr>
                <w:rFonts w:ascii="Calibri" w:hAnsi="Calibri"/>
                <w:sz w:val="22"/>
              </w:rPr>
              <w:t>No post-earnings revision; consensus near midpoint of range</w:t>
            </w:r>
          </w:p>
        </w:tc>
      </w:tr>
      <w:tr>
        <w:tc>
          <w:tcPr>
            <w:tcW w:type="dxa" w:w="1728"/>
          </w:tcPr>
          <w:p>
            <w:r>
              <w:rPr>
                <w:rFonts w:ascii="Calibri" w:hAnsi="Calibri"/>
                <w:sz w:val="22"/>
              </w:rPr>
              <w:t>Q2 2026 Adj. EBITDA</w:t>
            </w:r>
          </w:p>
        </w:tc>
        <w:tc>
          <w:tcPr>
            <w:tcW w:type="dxa" w:w="1728"/>
          </w:tcPr>
          <w:p>
            <w:r>
              <w:rPr>
                <w:rFonts w:ascii="Calibri" w:hAnsi="Calibri"/>
                <w:sz w:val="22"/>
              </w:rPr>
              <w:t>$300M – $350M</w:t>
            </w:r>
          </w:p>
        </w:tc>
        <w:tc>
          <w:tcPr>
            <w:tcW w:type="dxa" w:w="1728"/>
          </w:tcPr>
          <w:p>
            <w:r>
              <w:rPr>
                <w:rFonts w:ascii="Calibri" w:hAnsi="Calibri"/>
                <w:sz w:val="22"/>
              </w:rPr>
              <w:t>—</w:t>
            </w:r>
          </w:p>
        </w:tc>
        <w:tc>
          <w:tcPr>
            <w:tcW w:type="dxa" w:w="1728"/>
          </w:tcPr>
          <w:p>
            <w:r>
              <w:rPr>
                <w:rFonts w:ascii="Calibri" w:hAnsi="Calibri"/>
                <w:sz w:val="22"/>
              </w:rPr>
              <w:t>$331.6M</w:t>
            </w:r>
          </w:p>
        </w:tc>
        <w:tc>
          <w:tcPr>
            <w:tcW w:type="dxa" w:w="1728"/>
          </w:tcPr>
          <w:p>
            <w:r>
              <w:rPr>
                <w:rFonts w:ascii="Calibri" w:hAnsi="Calibri"/>
                <w:sz w:val="22"/>
              </w:rPr>
              <w:t>No post-earnings revision; consensus slightly below midpoint ($325M)</w:t>
            </w:r>
          </w:p>
        </w:tc>
      </w:tr>
      <w:tr>
        <w:tc>
          <w:tcPr>
            <w:tcW w:type="dxa" w:w="1728"/>
          </w:tcPr>
          <w:p>
            <w:r>
              <w:rPr>
                <w:rFonts w:ascii="Calibri" w:hAnsi="Calibri"/>
                <w:sz w:val="22"/>
              </w:rPr>
              <w:t>FY 2026 Net Sales</w:t>
            </w:r>
          </w:p>
        </w:tc>
        <w:tc>
          <w:tcPr>
            <w:tcW w:type="dxa" w:w="1728"/>
          </w:tcPr>
          <w:p>
            <w:r>
              <w:rPr>
                <w:rFonts w:ascii="Calibri" w:hAnsi="Calibri"/>
                <w:sz w:val="22"/>
              </w:rPr>
              <w:t>$14.6B – $15.6B</w:t>
            </w:r>
          </w:p>
        </w:tc>
        <w:tc>
          <w:tcPr>
            <w:tcW w:type="dxa" w:w="1728"/>
          </w:tcPr>
          <w:p>
            <w:r>
              <w:rPr>
                <w:rFonts w:ascii="Calibri" w:hAnsi="Calibri"/>
                <w:sz w:val="22"/>
              </w:rPr>
              <w:t>—</w:t>
            </w:r>
          </w:p>
        </w:tc>
        <w:tc>
          <w:tcPr>
            <w:tcW w:type="dxa" w:w="1728"/>
          </w:tcPr>
          <w:p>
            <w:r>
              <w:rPr>
                <w:rFonts w:ascii="Calibri" w:hAnsi="Calibri"/>
                <w:sz w:val="22"/>
              </w:rPr>
              <w:t>$14.77B</w:t>
            </w:r>
          </w:p>
        </w:tc>
        <w:tc>
          <w:tcPr>
            <w:tcW w:type="dxa" w:w="1728"/>
          </w:tcPr>
          <w:p>
            <w:r>
              <w:rPr>
                <w:rFonts w:ascii="Calibri" w:hAnsi="Calibri"/>
                <w:sz w:val="22"/>
              </w:rPr>
              <w:t>No post-earnings revision; consensus at low end of range, reflecting market skepticism on H2 recovery</w:t>
            </w:r>
          </w:p>
        </w:tc>
      </w:tr>
      <w:tr>
        <w:tc>
          <w:tcPr>
            <w:tcW w:type="dxa" w:w="1728"/>
          </w:tcPr>
          <w:p>
            <w:r>
              <w:rPr>
                <w:rFonts w:ascii="Calibri" w:hAnsi="Calibri"/>
                <w:sz w:val="22"/>
              </w:rPr>
              <w:t>FY 2026 Adj. EBITDA</w:t>
            </w:r>
          </w:p>
        </w:tc>
        <w:tc>
          <w:tcPr>
            <w:tcW w:type="dxa" w:w="1728"/>
          </w:tcPr>
          <w:p>
            <w:r>
              <w:rPr>
                <w:rFonts w:ascii="Calibri" w:hAnsi="Calibri"/>
                <w:sz w:val="22"/>
              </w:rPr>
              <w:t>$1.1B – $1.5B</w:t>
            </w:r>
          </w:p>
        </w:tc>
        <w:tc>
          <w:tcPr>
            <w:tcW w:type="dxa" w:w="1728"/>
          </w:tcPr>
          <w:p>
            <w:r>
              <w:rPr>
                <w:rFonts w:ascii="Calibri" w:hAnsi="Calibri"/>
                <w:sz w:val="22"/>
              </w:rPr>
              <w:t>—</w:t>
            </w:r>
          </w:p>
        </w:tc>
        <w:tc>
          <w:tcPr>
            <w:tcW w:type="dxa" w:w="1728"/>
          </w:tcPr>
          <w:p>
            <w:r>
              <w:rPr>
                <w:rFonts w:ascii="Calibri" w:hAnsi="Calibri"/>
                <w:sz w:val="22"/>
              </w:rPr>
              <w:t>$1.202B</w:t>
            </w:r>
          </w:p>
        </w:tc>
        <w:tc>
          <w:tcPr>
            <w:tcW w:type="dxa" w:w="1728"/>
          </w:tcPr>
          <w:p>
            <w:r>
              <w:rPr>
                <w:rFonts w:ascii="Calibri" w:hAnsi="Calibri"/>
                <w:sz w:val="22"/>
              </w:rPr>
              <w:t>No post-earnings revision; consensus near low end of $400M-wide range, implying limited confidence in H2 ramp</w:t>
            </w:r>
          </w:p>
        </w:tc>
      </w:tr>
      <w:tr>
        <w:tc>
          <w:tcPr>
            <w:tcW w:type="dxa" w:w="1728"/>
          </w:tcPr>
          <w:p>
            <w:r>
              <w:rPr>
                <w:rFonts w:ascii="Calibri" w:hAnsi="Calibri"/>
                <w:sz w:val="22"/>
              </w:rPr>
              <w:t>FY 2026 Gross Margin</w:t>
            </w:r>
          </w:p>
        </w:tc>
        <w:tc>
          <w:tcPr>
            <w:tcW w:type="dxa" w:w="1728"/>
          </w:tcPr>
          <w:p>
            <w:r>
              <w:rPr>
                <w:rFonts w:ascii="Calibri" w:hAnsi="Calibri"/>
                <w:sz w:val="22"/>
              </w:rPr>
              <w:t>27.5% – 29.0%</w:t>
            </w:r>
          </w:p>
        </w:tc>
        <w:tc>
          <w:tcPr>
            <w:tcW w:type="dxa" w:w="1728"/>
          </w:tcPr>
          <w:p>
            <w:r>
              <w:rPr>
                <w:rFonts w:ascii="Calibri" w:hAnsi="Calibri"/>
                <w:sz w:val="22"/>
              </w:rPr>
              <w:t>—</w:t>
            </w:r>
          </w:p>
        </w:tc>
        <w:tc>
          <w:tcPr>
            <w:tcW w:type="dxa" w:w="1728"/>
          </w:tcPr>
          <w:p>
            <w:r>
              <w:rPr>
                <w:rFonts w:ascii="Calibri" w:hAnsi="Calibri"/>
                <w:sz w:val="22"/>
              </w:rPr>
              <w:t>~28.2% (implied by consensus gross profit / sales)</w:t>
            </w:r>
          </w:p>
        </w:tc>
        <w:tc>
          <w:tcPr>
            <w:tcW w:type="dxa" w:w="1728"/>
          </w:tcPr>
          <w:p>
            <w:r>
              <w:rPr>
                <w:rFonts w:ascii="Calibri" w:hAnsi="Calibri"/>
                <w:sz w:val="22"/>
              </w:rPr>
              <w:t>No post-earnings revision; Q1 actual was 28.3%, consensus implies roughly flat for the year</w:t>
            </w:r>
          </w:p>
        </w:tc>
      </w:tr>
      <w:tr>
        <w:tc>
          <w:tcPr>
            <w:tcW w:type="dxa" w:w="1728"/>
          </w:tcPr>
          <w:p>
            <w:r>
              <w:rPr>
                <w:rFonts w:ascii="Calibri" w:hAnsi="Calibri"/>
                <w:sz w:val="22"/>
              </w:rPr>
              <w:t>FY 2026 Free Cash Flow</w:t>
            </w:r>
          </w:p>
        </w:tc>
        <w:tc>
          <w:tcPr>
            <w:tcW w:type="dxa" w:w="1728"/>
          </w:tcPr>
          <w:p>
            <w:r>
              <w:rPr>
                <w:rFonts w:ascii="Calibri" w:hAnsi="Calibri"/>
                <w:sz w:val="22"/>
              </w:rPr>
              <w:t>$400M – $500M</w:t>
            </w:r>
          </w:p>
        </w:tc>
        <w:tc>
          <w:tcPr>
            <w:tcW w:type="dxa" w:w="1728"/>
          </w:tcPr>
          <w:p>
            <w:r>
              <w:rPr>
                <w:rFonts w:ascii="Calibri" w:hAnsi="Calibri"/>
                <w:sz w:val="22"/>
              </w:rPr>
              <w:t>—</w:t>
            </w:r>
          </w:p>
        </w:tc>
        <w:tc>
          <w:tcPr>
            <w:tcW w:type="dxa" w:w="1728"/>
          </w:tcPr>
          <w:p>
            <w:r>
              <w:rPr>
                <w:rFonts w:ascii="Calibri" w:hAnsi="Calibri"/>
                <w:sz w:val="22"/>
              </w:rPr>
              <w:t>$427.2M</w:t>
            </w:r>
          </w:p>
        </w:tc>
        <w:tc>
          <w:tcPr>
            <w:tcW w:type="dxa" w:w="1728"/>
          </w:tcPr>
          <w:p>
            <w:r>
              <w:rPr>
                <w:rFonts w:ascii="Calibri" w:hAnsi="Calibri"/>
                <w:sz w:val="22"/>
              </w:rPr>
              <w:t>No post-earnings revision; consensus near low end, consistent with cautious EBITDA view</w:t>
            </w:r>
          </w:p>
        </w:tc>
      </w:tr>
      <w:tr>
        <w:tc>
          <w:tcPr>
            <w:tcW w:type="dxa" w:w="1728"/>
          </w:tcPr>
          <w:p>
            <w:r>
              <w:rPr>
                <w:rFonts w:ascii="Calibri" w:hAnsi="Calibri"/>
                <w:sz w:val="22"/>
              </w:rPr>
              <w:t>SF/MF Starts Assumption (FY)</w:t>
            </w:r>
          </w:p>
        </w:tc>
        <w:tc>
          <w:tcPr>
            <w:tcW w:type="dxa" w:w="1728"/>
          </w:tcPr>
          <w:p>
            <w:r>
              <w:rPr>
                <w:rFonts w:ascii="Calibri" w:hAnsi="Calibri"/>
                <w:sz w:val="22"/>
              </w:rPr>
              <w:t>Down ~2.5% vs. 2025</w:t>
            </w:r>
          </w:p>
        </w:tc>
        <w:tc>
          <w:tcPr>
            <w:tcW w:type="dxa" w:w="1728"/>
          </w:tcPr>
          <w:p>
            <w:r>
              <w:rPr>
                <w:rFonts w:ascii="Calibri" w:hAnsi="Calibri"/>
                <w:sz w:val="22"/>
              </w:rPr>
              <w:t>—</w:t>
            </w:r>
          </w:p>
        </w:tc>
        <w:tc>
          <w:tcPr>
            <w:tcW w:type="dxa" w:w="1728"/>
          </w:tcPr>
          <w:p>
            <w:r>
              <w:rPr>
                <w:rFonts w:ascii="Calibri" w:hAnsi="Calibri"/>
                <w:sz w:val="22"/>
              </w:rPr>
              <w:t>N/A — macro assumption</w:t>
            </w:r>
          </w:p>
        </w:tc>
        <w:tc>
          <w:tcPr>
            <w:tcW w:type="dxa" w:w="1728"/>
          </w:tcPr>
          <w:p>
            <w:r>
              <w:rPr>
                <w:rFonts w:ascii="Calibri" w:hAnsi="Calibri"/>
                <w:sz w:val="22"/>
              </w:rPr>
              <w:t>DHI (July 21) confirmed demand softened through Q3; no improvement signal from peers</w:t>
            </w:r>
          </w:p>
        </w:tc>
      </w:tr>
      <w:tr>
        <w:tc>
          <w:tcPr>
            <w:tcW w:type="dxa" w:w="1728"/>
          </w:tcPr>
          <w:p>
            <w:r>
              <w:rPr>
                <w:rFonts w:ascii="Calibri" w:hAnsi="Calibri"/>
                <w:sz w:val="22"/>
              </w:rPr>
              <w:t>COO Succession</w:t>
            </w:r>
          </w:p>
        </w:tc>
        <w:tc>
          <w:tcPr>
            <w:tcW w:type="dxa" w:w="1728"/>
          </w:tcPr>
          <w:p>
            <w:r>
              <w:rPr>
                <w:rFonts w:ascii="Calibri" w:hAnsi="Calibri"/>
                <w:sz w:val="22"/>
              </w:rPr>
              <w:t>N/A</w:t>
            </w:r>
          </w:p>
        </w:tc>
        <w:tc>
          <w:tcPr>
            <w:tcW w:type="dxa" w:w="1728"/>
          </w:tcPr>
          <w:p>
            <w:r>
              <w:rPr>
                <w:rFonts w:ascii="Calibri" w:hAnsi="Calibri"/>
                <w:sz w:val="22"/>
              </w:rPr>
              <w:t>Mike Hiller named COO-Designate (eff. Dec 31, 2026); Steve Herron retiring</w:t>
            </w:r>
          </w:p>
        </w:tc>
        <w:tc>
          <w:tcPr>
            <w:tcW w:type="dxa" w:w="1728"/>
          </w:tcPr>
          <w:p>
            <w:r>
              <w:rPr>
                <w:rFonts w:ascii="Calibri" w:hAnsi="Calibri"/>
                <w:sz w:val="22"/>
              </w:rPr>
              <w:t>N/A</w:t>
            </w:r>
          </w:p>
        </w:tc>
        <w:tc>
          <w:tcPr>
            <w:tcW w:type="dxa" w:w="1728"/>
          </w:tcPr>
          <w:p>
            <w:r>
              <w:rPr>
                <w:rFonts w:ascii="Calibri" w:hAnsi="Calibri"/>
                <w:sz w:val="22"/>
              </w:rPr>
              <w:t>8-K filed May 18, 2026; orderly transition, no guidance impact disclosed</w:t>
            </w:r>
          </w:p>
        </w:tc>
      </w:tr>
    </w:tbl>
    <w:p>
      <w:r>
        <w:rPr>
          <w:rFonts w:ascii="Calibri" w:hAnsi="Calibri"/>
          <w:color w:val="525866"/>
          <w:sz w:val="22"/>
        </w:rPr>
        <w:t>Sources: BLDR Q1 2026 Earnings Call Transcript and Earnings Release (April 30, 2026); BLDR 8-K filed May 18, 2026 (COO succession); Visible Alpha Consensus and Actuals Data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cut sharply since the Q1 print — Q2 2026 Adj. EBITDA consensus fell ~40% from the post-Q4 2025 baseline to today, tracking the guidance cut; the FY 2026 consensus sits near the low end of the wide guidance range, implying the Street is not giving management credit for the H2 recovery embedded in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Q4 2025 Earnings (as of May 7,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$3.926B</w:t>
            </w:r>
          </w:p>
        </w:tc>
        <w:tc>
          <w:tcPr>
            <w:tcW w:type="dxa" w:w="1080"/>
          </w:tcPr>
          <w:p>
            <w:r>
              <w:rPr>
                <w:rFonts w:ascii="Calibri" w:hAnsi="Calibri"/>
                <w:sz w:val="22"/>
              </w:rPr>
              <w:t>$3.920B</w:t>
            </w:r>
          </w:p>
        </w:tc>
        <w:tc>
          <w:tcPr>
            <w:tcW w:type="dxa" w:w="1080"/>
          </w:tcPr>
          <w:p>
            <w:r>
              <w:rPr>
                <w:rFonts w:ascii="Calibri" w:hAnsi="Calibri"/>
                <w:sz w:val="22"/>
              </w:rPr>
              <w:t>-0.2%</w:t>
            </w:r>
          </w:p>
        </w:tc>
        <w:tc>
          <w:tcPr>
            <w:tcW w:type="dxa" w:w="1080"/>
          </w:tcPr>
          <w:p>
            <w:r>
              <w:rPr>
                <w:rFonts w:ascii="Calibri" w:hAnsi="Calibri"/>
                <w:sz w:val="22"/>
              </w:rPr>
              <w:t>$3.75B – $4.05B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vs. $3.90B mid</w:t>
            </w:r>
          </w:p>
        </w:tc>
      </w:tr>
      <w:tr>
        <w:tc>
          <w:tcPr>
            <w:tcW w:type="dxa" w:w="1080"/>
          </w:tcPr>
          <w:p>
            <w:r>
              <w:rPr>
                <w:rFonts w:ascii="Calibri" w:hAnsi="Calibri"/>
                <w:sz w:val="22"/>
              </w:rPr>
              <w:t>Adj. EBITDA — Q2 2026</w:t>
            </w:r>
          </w:p>
        </w:tc>
        <w:tc>
          <w:tcPr>
            <w:tcW w:type="dxa" w:w="1080"/>
          </w:tcPr>
          <w:p>
            <w:r>
              <w:rPr>
                <w:rFonts w:ascii="Calibri" w:hAnsi="Calibri"/>
                <w:sz w:val="22"/>
              </w:rPr>
              <w:t>$332.3M</w:t>
            </w:r>
          </w:p>
        </w:tc>
        <w:tc>
          <w:tcPr>
            <w:tcW w:type="dxa" w:w="1080"/>
          </w:tcPr>
          <w:p>
            <w:r>
              <w:rPr>
                <w:rFonts w:ascii="Calibri" w:hAnsi="Calibri"/>
                <w:sz w:val="22"/>
              </w:rPr>
              <w:t>$331.6M</w:t>
            </w:r>
          </w:p>
        </w:tc>
        <w:tc>
          <w:tcPr>
            <w:tcW w:type="dxa" w:w="1080"/>
          </w:tcPr>
          <w:p>
            <w:r>
              <w:rPr>
                <w:rFonts w:ascii="Calibri" w:hAnsi="Calibri"/>
                <w:sz w:val="22"/>
              </w:rPr>
              <w:t>-0.2%</w:t>
            </w:r>
          </w:p>
        </w:tc>
        <w:tc>
          <w:tcPr>
            <w:tcW w:type="dxa" w:w="1080"/>
          </w:tcPr>
          <w:p>
            <w:r>
              <w:rPr>
                <w:rFonts w:ascii="Calibri" w:hAnsi="Calibri"/>
                <w:sz w:val="22"/>
              </w:rPr>
              <w:t>$300M – $350M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vs. $325M mid</w:t>
            </w:r>
          </w:p>
        </w:tc>
      </w:tr>
      <w:tr>
        <w:tc>
          <w:tcPr>
            <w:tcW w:type="dxa" w:w="1080"/>
          </w:tcPr>
          <w:p>
            <w:r>
              <w:rPr>
                <w:rFonts w:ascii="Calibri" w:hAnsi="Calibri"/>
                <w:sz w:val="22"/>
              </w:rPr>
              <w:t>Adj. EPS — Q2 2026</w:t>
            </w:r>
          </w:p>
        </w:tc>
        <w:tc>
          <w:tcPr>
            <w:tcW w:type="dxa" w:w="1080"/>
          </w:tcPr>
          <w:p>
            <w:r>
              <w:rPr>
                <w:rFonts w:ascii="Calibri" w:hAnsi="Calibri"/>
                <w:sz w:val="22"/>
              </w:rPr>
              <w:t>$1.243</w:t>
            </w:r>
          </w:p>
        </w:tc>
        <w:tc>
          <w:tcPr>
            <w:tcW w:type="dxa" w:w="1080"/>
          </w:tcPr>
          <w:p>
            <w:r>
              <w:rPr>
                <w:rFonts w:ascii="Calibri" w:hAnsi="Calibri"/>
                <w:sz w:val="22"/>
              </w:rPr>
              <w:t>$1.231</w:t>
            </w:r>
          </w:p>
        </w:tc>
        <w:tc>
          <w:tcPr>
            <w:tcW w:type="dxa" w:w="1080"/>
          </w:tcPr>
          <w:p>
            <w:r>
              <w:rPr>
                <w:rFonts w:ascii="Calibri" w:hAnsi="Calibri"/>
                <w:b/>
                <w:color w:val="E5484D"/>
                <w:sz w:val="22"/>
              </w:rPr>
              <w:t>-1.0%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$14.835B</w:t>
            </w:r>
          </w:p>
        </w:tc>
        <w:tc>
          <w:tcPr>
            <w:tcW w:type="dxa" w:w="1080"/>
          </w:tcPr>
          <w:p>
            <w:r>
              <w:rPr>
                <w:rFonts w:ascii="Calibri" w:hAnsi="Calibri"/>
                <w:sz w:val="22"/>
              </w:rPr>
              <w:t>$14.768B</w:t>
            </w:r>
          </w:p>
        </w:tc>
        <w:tc>
          <w:tcPr>
            <w:tcW w:type="dxa" w:w="1080"/>
          </w:tcPr>
          <w:p>
            <w:r>
              <w:rPr>
                <w:rFonts w:ascii="Calibri" w:hAnsi="Calibri"/>
                <w:sz w:val="22"/>
              </w:rPr>
              <w:t>-0.5%</w:t>
            </w:r>
          </w:p>
        </w:tc>
        <w:tc>
          <w:tcPr>
            <w:tcW w:type="dxa" w:w="1080"/>
          </w:tcPr>
          <w:p>
            <w:r>
              <w:rPr>
                <w:rFonts w:ascii="Calibri" w:hAnsi="Calibri"/>
                <w:sz w:val="22"/>
              </w:rPr>
              <w:t>$14.6B – $15.6B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-5.3% vs. $15.1B mid</w:t>
            </w:r>
          </w:p>
        </w:tc>
      </w:tr>
      <w:tr>
        <w:tc>
          <w:tcPr>
            <w:tcW w:type="dxa" w:w="1080"/>
          </w:tcPr>
          <w:p>
            <w:r>
              <w:rPr>
                <w:rFonts w:ascii="Calibri" w:hAnsi="Calibri"/>
                <w:sz w:val="22"/>
              </w:rPr>
              <w:t>Adj. EBITDA — FY 2026</w:t>
            </w:r>
          </w:p>
        </w:tc>
        <w:tc>
          <w:tcPr>
            <w:tcW w:type="dxa" w:w="1080"/>
          </w:tcPr>
          <w:p>
            <w:r>
              <w:rPr>
                <w:rFonts w:ascii="Calibri" w:hAnsi="Calibri"/>
                <w:sz w:val="22"/>
              </w:rPr>
              <w:t>$1.228B</w:t>
            </w:r>
          </w:p>
        </w:tc>
        <w:tc>
          <w:tcPr>
            <w:tcW w:type="dxa" w:w="1080"/>
          </w:tcPr>
          <w:p>
            <w:r>
              <w:rPr>
                <w:rFonts w:ascii="Calibri" w:hAnsi="Calibri"/>
                <w:sz w:val="22"/>
              </w:rPr>
              <w:t>$1.202B</w:t>
            </w:r>
          </w:p>
        </w:tc>
        <w:tc>
          <w:tcPr>
            <w:tcW w:type="dxa" w:w="1080"/>
          </w:tcPr>
          <w:p>
            <w:r>
              <w:rPr>
                <w:rFonts w:ascii="Calibri" w:hAnsi="Calibri"/>
                <w:b/>
                <w:color w:val="E5484D"/>
                <w:sz w:val="22"/>
              </w:rPr>
              <w:t>-2.1%</w:t>
            </w:r>
          </w:p>
        </w:tc>
        <w:tc>
          <w:tcPr>
            <w:tcW w:type="dxa" w:w="1080"/>
          </w:tcPr>
          <w:p>
            <w:r>
              <w:rPr>
                <w:rFonts w:ascii="Calibri" w:hAnsi="Calibri"/>
                <w:sz w:val="22"/>
              </w:rPr>
              <w:t>$1.1B – $1.5B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-16.4% vs. $1.3B mid</w:t>
            </w:r>
          </w:p>
        </w:tc>
      </w:tr>
      <w:tr>
        <w:tc>
          <w:tcPr>
            <w:tcW w:type="dxa" w:w="1080"/>
          </w:tcPr>
          <w:p>
            <w:r>
              <w:rPr>
                <w:rFonts w:ascii="Calibri" w:hAnsi="Calibri"/>
                <w:sz w:val="22"/>
              </w:rPr>
              <w:t>Adj. EPS — FY 2026</w:t>
            </w:r>
          </w:p>
        </w:tc>
        <w:tc>
          <w:tcPr>
            <w:tcW w:type="dxa" w:w="1080"/>
          </w:tcPr>
          <w:p>
            <w:r>
              <w:rPr>
                <w:rFonts w:ascii="Calibri" w:hAnsi="Calibri"/>
                <w:sz w:val="22"/>
              </w:rPr>
              <w:t>$4.137</w:t>
            </w:r>
          </w:p>
        </w:tc>
        <w:tc>
          <w:tcPr>
            <w:tcW w:type="dxa" w:w="1080"/>
          </w:tcPr>
          <w:p>
            <w:r>
              <w:rPr>
                <w:rFonts w:ascii="Calibri" w:hAnsi="Calibri"/>
                <w:sz w:val="22"/>
              </w:rPr>
              <w:t>$3.984</w:t>
            </w:r>
          </w:p>
        </w:tc>
        <w:tc>
          <w:tcPr>
            <w:tcW w:type="dxa" w:w="1080"/>
          </w:tcPr>
          <w:p>
            <w:r>
              <w:rPr>
                <w:rFonts w:ascii="Calibri" w:hAnsi="Calibri"/>
                <w:b/>
                <w:color w:val="E5484D"/>
                <w:sz w:val="22"/>
              </w:rPr>
              <w:t>-3.7%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Q2 2026 estimates have been remarkably stable since the post-Q1 reset — both revenue and EBITDA are essentially flat from the May 7 baseline — suggesting the Street has fully digested the guidance cut and is not making incremental moves ahead of the print. The more telling signal is the FY 2026 EBITDA consensus sitting 16% below the guidance midpoint, which implies analysts are modeling a much weaker H2 than management's guidance implies; any upward revision to the H2 outlook on the Q2 call would be a meaningful positive catalyst.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BLDR has dramatically underperformed both XHB and the S&amp;P 500 since the Q1 2026 earnings print on April 30, driven primarily by multiple compression and downward estimate revisions; the stock is down ~14% vs. XHB flat and SPY +2% over the same period, with the gap widening sharply in July as DHI's guidance cut renewed sector-wide concern.</w:t>
      </w:r>
    </w:p>
    <w:p>
      <w:r>
        <w:rPr>
          <w:rFonts w:ascii="Calibri" w:hAnsi="Calibri"/>
          <w:color w:val="525866"/>
          <w:sz w:val="22"/>
        </w:rPr>
        <w:t xml:space="preserve">Since the Q1 2026 earnings date (April 30, 2026), BLDR closed at $79.09 and has declined to $73.68 as of July 28, 2026 (the last full trading day before this report), a loss of approximately </w:t>
      </w:r>
      <w:r>
        <w:rPr>
          <w:rFonts w:ascii="Calibri" w:hAnsi="Calibri"/>
          <w:b/>
          <w:color w:val="525866"/>
          <w:sz w:val="22"/>
        </w:rPr>
        <w:t>-6.8%</w:t>
      </w:r>
      <w:r>
        <w:rPr>
          <w:rFonts w:ascii="Calibri" w:hAnsi="Calibri"/>
          <w:color w:val="525866"/>
          <w:sz w:val="22"/>
        </w:rPr>
        <w:t>. By contrast, XHB (SPDR S&amp;P Homebuilders ETF) moved from $106.00 to $109.64 (+3.4%) and the S&amp;P 500 (SPY) moved from $718.66 to $740.86 (+3.1%) over the same period. The stock briefly rallied to ~$90 in late June before reversing sharply in July, coinciding with D.R. Horton's July 21 earnings call where management lowered its annual delivery guide and flagged softening demand. The 1-month stock performance of -25% (per the performance decomposition data) reflects both the July selloff and the broader de-rating. The NTM EV/EBITDA multiple has compressed from ~11.1x one month ago to ~9.8x today, with the majority of the 12-month price decline (-50%) driven by a combination of estimate cuts and multiple compression rather than any single event. Source: Stock Price Data (Yahoo Finance); Stock Performance Decomposition Data.</w:t>
      </w:r>
    </w:p>
    <w:p>
      <w:r>
        <w:rPr>
          <w:rFonts w:ascii="Calibri" w:hAnsi="Calibri"/>
          <w:color w:val="525866"/>
          <w:sz w:val="22"/>
        </w:rPr>
        <w:t>Indexed Performance Table (Base = 100 at April 30,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BLDR (Indexed)</w:t>
            </w:r>
          </w:p>
        </w:tc>
        <w:tc>
          <w:tcPr>
            <w:tcW w:type="dxa" w:w="2160"/>
            <w:shd w:val="clear" w:color="auto" w:fill="3B4259"/>
          </w:tcPr>
          <w:p>
            <w:r>
              <w:rPr>
                <w:rFonts w:ascii="Calibri" w:hAnsi="Calibri"/>
                <w:b/>
                <w:color w:val="FFFFFF"/>
                <w:sz w:val="22"/>
              </w:rPr>
              <w:t>XHB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2026 (post-COO announcement low)</w:t>
            </w:r>
          </w:p>
        </w:tc>
        <w:tc>
          <w:tcPr>
            <w:tcW w:type="dxa" w:w="2160"/>
          </w:tcPr>
          <w:p>
            <w:r>
              <w:rPr>
                <w:rFonts w:ascii="Calibri" w:hAnsi="Calibri"/>
                <w:sz w:val="22"/>
              </w:rPr>
              <w:t>83.9</w:t>
            </w:r>
          </w:p>
        </w:tc>
        <w:tc>
          <w:tcPr>
            <w:tcW w:type="dxa" w:w="2160"/>
          </w:tcPr>
          <w:p>
            <w:r>
              <w:rPr>
                <w:rFonts w:ascii="Calibri" w:hAnsi="Calibri"/>
                <w:sz w:val="22"/>
              </w:rPr>
              <w:t>89.5</w:t>
            </w:r>
          </w:p>
        </w:tc>
        <w:tc>
          <w:tcPr>
            <w:tcW w:type="dxa" w:w="2160"/>
          </w:tcPr>
          <w:p>
            <w:r>
              <w:rPr>
                <w:rFonts w:ascii="Calibri" w:hAnsi="Calibri"/>
                <w:sz w:val="22"/>
              </w:rPr>
              <w:t>102.0</w:t>
            </w:r>
          </w:p>
        </w:tc>
      </w:tr>
      <w:tr>
        <w:tc>
          <w:tcPr>
            <w:tcW w:type="dxa" w:w="2160"/>
          </w:tcPr>
          <w:p>
            <w:r>
              <w:rPr>
                <w:rFonts w:ascii="Calibri" w:hAnsi="Calibri"/>
                <w:sz w:val="22"/>
              </w:rPr>
              <w:t>Jun 30, 2026 (quarter-end high)</w:t>
            </w:r>
          </w:p>
        </w:tc>
        <w:tc>
          <w:tcPr>
            <w:tcW w:type="dxa" w:w="2160"/>
          </w:tcPr>
          <w:p>
            <w:r>
              <w:rPr>
                <w:rFonts w:ascii="Calibri" w:hAnsi="Calibri"/>
                <w:sz w:val="22"/>
              </w:rPr>
              <w:t>113.1</w:t>
            </w:r>
          </w:p>
        </w:tc>
        <w:tc>
          <w:tcPr>
            <w:tcW w:type="dxa" w:w="2160"/>
          </w:tcPr>
          <w:p>
            <w:r>
              <w:rPr>
                <w:rFonts w:ascii="Calibri" w:hAnsi="Calibri"/>
                <w:sz w:val="22"/>
              </w:rPr>
              <w:t>109.0</w:t>
            </w:r>
          </w:p>
        </w:tc>
        <w:tc>
          <w:tcPr>
            <w:tcW w:type="dxa" w:w="2160"/>
          </w:tcPr>
          <w:p>
            <w:r>
              <w:rPr>
                <w:rFonts w:ascii="Calibri" w:hAnsi="Calibri"/>
                <w:sz w:val="22"/>
              </w:rPr>
              <w:t>103.9</w:t>
            </w:r>
          </w:p>
        </w:tc>
      </w:tr>
      <w:tr>
        <w:tc>
          <w:tcPr>
            <w:tcW w:type="dxa" w:w="2160"/>
          </w:tcPr>
          <w:p>
            <w:r>
              <w:rPr>
                <w:rFonts w:ascii="Calibri" w:hAnsi="Calibri"/>
                <w:sz w:val="22"/>
              </w:rPr>
              <w:t>Jul 21, 2026 (post-DHI earnings)</w:t>
            </w:r>
          </w:p>
        </w:tc>
        <w:tc>
          <w:tcPr>
            <w:tcW w:type="dxa" w:w="2160"/>
          </w:tcPr>
          <w:p>
            <w:r>
              <w:rPr>
                <w:rFonts w:ascii="Calibri" w:hAnsi="Calibri"/>
                <w:sz w:val="22"/>
              </w:rPr>
              <w:t>88.2</w:t>
            </w:r>
          </w:p>
        </w:tc>
        <w:tc>
          <w:tcPr>
            <w:tcW w:type="dxa" w:w="2160"/>
          </w:tcPr>
          <w:p>
            <w:r>
              <w:rPr>
                <w:rFonts w:ascii="Calibri" w:hAnsi="Calibri"/>
                <w:sz w:val="22"/>
              </w:rPr>
              <w:t>99.9</w:t>
            </w:r>
          </w:p>
        </w:tc>
        <w:tc>
          <w:tcPr>
            <w:tcW w:type="dxa" w:w="2160"/>
          </w:tcPr>
          <w:p>
            <w:r>
              <w:rPr>
                <w:rFonts w:ascii="Calibri" w:hAnsi="Calibri"/>
                <w:sz w:val="22"/>
              </w:rPr>
              <w:t>104.1</w:t>
            </w:r>
          </w:p>
        </w:tc>
      </w:tr>
      <w:tr>
        <w:tc>
          <w:tcPr>
            <w:tcW w:type="dxa" w:w="2160"/>
          </w:tcPr>
          <w:p>
            <w:r>
              <w:rPr>
                <w:rFonts w:ascii="Calibri" w:hAnsi="Calibri"/>
                <w:sz w:val="22"/>
              </w:rPr>
              <w:t>Jul 28, 2026 (last close)</w:t>
            </w:r>
          </w:p>
        </w:tc>
        <w:tc>
          <w:tcPr>
            <w:tcW w:type="dxa" w:w="2160"/>
          </w:tcPr>
          <w:p>
            <w:r>
              <w:rPr>
                <w:rFonts w:ascii="Calibri" w:hAnsi="Calibri"/>
                <w:sz w:val="22"/>
              </w:rPr>
              <w:t>93.2</w:t>
            </w:r>
          </w:p>
        </w:tc>
        <w:tc>
          <w:tcPr>
            <w:tcW w:type="dxa" w:w="2160"/>
          </w:tcPr>
          <w:p>
            <w:r>
              <w:rPr>
                <w:rFonts w:ascii="Calibri" w:hAnsi="Calibri"/>
                <w:sz w:val="22"/>
              </w:rPr>
              <w:t>103.4</w:t>
            </w:r>
          </w:p>
        </w:tc>
        <w:tc>
          <w:tcPr>
            <w:tcW w:type="dxa" w:w="2160"/>
          </w:tcPr>
          <w:p>
            <w:r>
              <w:rPr>
                <w:rFonts w:ascii="Calibri" w:hAnsi="Calibri"/>
                <w:sz w:val="22"/>
              </w:rPr>
              <w:t>103.1</w:t>
            </w:r>
          </w:p>
        </w:tc>
      </w:tr>
    </w:tbl>
    <w:p>
      <w:r>
        <w:rPr>
          <w:rFonts w:ascii="Calibri" w:hAnsi="Calibri"/>
          <w:color w:val="525866"/>
          <w:sz w:val="22"/>
        </w:rPr>
        <w:t>Note: XHB (SPDR S&amp;P Homebuilders ETF) is the appropriate sector benchmark for BLDR, capturing the homebuilding and building products sub-sector. Indexed values computed from closing prices.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D.R. Horton's July 21 guidance cut, which confirmed that housing demand softened through the spring and summer — a direct negative read-through for BLDR's Q2 volume and H2 outlook; the COO succession is orderly and not a strategic risk.</w:t>
      </w:r>
    </w:p>
    <w:p>
      <w:pPr>
        <w:pStyle w:val="ListBullet"/>
        <w:ind w:left="360" w:hanging="360"/>
      </w:pPr>
      <w:r>
        <w:rPr>
          <w:rFonts w:ascii="Calibri" w:hAnsi="Calibri"/>
          <w:b/>
          <w:color w:val="525866"/>
          <w:sz w:val="22"/>
        </w:rPr>
        <w:t xml:space="preserve">July 21, 2026 — D.R. Horton (DHI) Q3 FY2026 Earnings: </w:t>
      </w:r>
      <w:r>
        <w:rPr>
          <w:rFonts w:ascii="Calibri" w:hAnsi="Calibri"/>
          <w:color w:val="525866"/>
          <w:sz w:val="22"/>
        </w:rPr>
        <w:t xml:space="preserve">DHI lowered its annual delivery guide and flagged that demand "softened a little bit" through the quarter, with affordability constraints and cautious consumer sentiment continuing to weigh on new home demand. Management expects Q4 starts to be lower than Q3. Incentives expected to remain elevated. </w:t>
      </w:r>
      <w:r>
        <w:rPr>
          <w:rFonts w:ascii="Calibri" w:hAnsi="Calibri"/>
          <w:i/>
          <w:color w:val="525866"/>
          <w:sz w:val="22"/>
        </w:rPr>
        <w:t xml:space="preserve">Implication: </w:t>
      </w:r>
      <w:r>
        <w:rPr>
          <w:rFonts w:ascii="Calibri" w:hAnsi="Calibri"/>
          <w:color w:val="525866"/>
          <w:sz w:val="22"/>
        </w:rPr>
        <w:t>Direct negative read-through for BLDR — lower starts = lower demand for BLDR's structural products, manufactured components, and value-added solutions. DHI is BLDR's largest single-builder customer type.</w:t>
      </w:r>
    </w:p>
    <w:p>
      <w:pPr>
        <w:pStyle w:val="ListBullet"/>
        <w:ind w:left="360" w:hanging="360"/>
      </w:pPr>
      <w:r>
        <w:rPr>
          <w:rFonts w:ascii="Calibri" w:hAnsi="Calibri"/>
          <w:b/>
          <w:color w:val="525866"/>
          <w:sz w:val="22"/>
        </w:rPr>
        <w:t xml:space="preserve">June 12, 2026 — Lennar (LEN) Q2 2026 Earnings: </w:t>
      </w:r>
      <w:r>
        <w:rPr>
          <w:rFonts w:ascii="Calibri" w:hAnsi="Calibri"/>
          <w:color w:val="525866"/>
          <w:sz w:val="22"/>
        </w:rPr>
        <w:t xml:space="preserve">LEN lowered its annual delivery guide to 82,000–83,000 homes (from prior guidance), citing "current pressures on interest rates and continued macro uncertainty." Mortgage rates remained "stubbornly elevated in the mid to upper 6% range." Noted a broad range of commodities and building products creating cost headwinds. </w:t>
      </w:r>
      <w:r>
        <w:rPr>
          <w:rFonts w:ascii="Calibri" w:hAnsi="Calibri"/>
          <w:i/>
          <w:color w:val="525866"/>
          <w:sz w:val="22"/>
        </w:rPr>
        <w:t xml:space="preserve">Implication: </w:t>
      </w:r>
      <w:r>
        <w:rPr>
          <w:rFonts w:ascii="Calibri" w:hAnsi="Calibri"/>
          <w:color w:val="525866"/>
          <w:sz w:val="22"/>
        </w:rPr>
        <w:t>Negative read-through for BLDR's Q2 volume; however, LEN noted incentives declining and margins starting to improve, which could be a leading indicator of stabilization in the broader supply chain.</w:t>
      </w:r>
    </w:p>
    <w:p>
      <w:pPr>
        <w:pStyle w:val="ListBullet"/>
        <w:ind w:left="360" w:hanging="360"/>
      </w:pPr>
      <w:r>
        <w:rPr>
          <w:rFonts w:ascii="Calibri" w:hAnsi="Calibri"/>
          <w:b/>
          <w:color w:val="525866"/>
          <w:sz w:val="22"/>
        </w:rPr>
        <w:t xml:space="preserve">July 9, 2026 — BLDR Announces Q2 2026 Earnings Call: </w:t>
      </w:r>
      <w:r>
        <w:rPr>
          <w:rFonts w:ascii="Calibri" w:hAnsi="Calibri"/>
          <w:color w:val="525866"/>
          <w:sz w:val="22"/>
        </w:rPr>
        <w:t xml:space="preserve">Builders FirstSource announced it will host its Q2 2026 financial results conference call on July 30, 2026. No pre-announcement or guidance update was included in the press release. </w:t>
      </w:r>
      <w:r>
        <w:rPr>
          <w:rFonts w:ascii="Calibri" w:hAnsi="Calibri"/>
          <w:i/>
          <w:color w:val="525866"/>
          <w:sz w:val="22"/>
        </w:rPr>
        <w:t xml:space="preserve">Implication: </w:t>
      </w:r>
      <w:r>
        <w:rPr>
          <w:rFonts w:ascii="Calibri" w:hAnsi="Calibri"/>
          <w:color w:val="525866"/>
          <w:sz w:val="22"/>
        </w:rPr>
        <w:t>Absence of a pre-announcement is neutral — no material deviation from guidance was flagged.</w:t>
      </w:r>
    </w:p>
    <w:p>
      <w:pPr>
        <w:pStyle w:val="ListBullet"/>
        <w:ind w:left="360" w:hanging="360"/>
      </w:pPr>
      <w:r>
        <w:rPr>
          <w:rFonts w:ascii="Calibri" w:hAnsi="Calibri"/>
          <w:b/>
          <w:color w:val="525866"/>
          <w:sz w:val="22"/>
        </w:rPr>
        <w:t xml:space="preserve">June 5, 2026 — Board Director Resignation (8-K): </w:t>
      </w:r>
      <w:r>
        <w:rPr>
          <w:rFonts w:ascii="Calibri" w:hAnsi="Calibri"/>
          <w:color w:val="525866"/>
          <w:sz w:val="22"/>
        </w:rPr>
        <w:t xml:space="preserve">Mark A. Alexander resigned from the Board of Directors effective June 3, 2026, due to health reasons. The company explicitly stated the resignation was not due to any disagreement with the company on operations, policies, or practices. </w:t>
      </w:r>
      <w:r>
        <w:rPr>
          <w:rFonts w:ascii="Calibri" w:hAnsi="Calibri"/>
          <w:i/>
          <w:color w:val="525866"/>
          <w:sz w:val="22"/>
        </w:rPr>
        <w:t xml:space="preserve">Implication: </w:t>
      </w:r>
      <w:r>
        <w:rPr>
          <w:rFonts w:ascii="Calibri" w:hAnsi="Calibri"/>
          <w:color w:val="525866"/>
          <w:sz w:val="22"/>
        </w:rPr>
        <w:t>Governance change only; no financial or strategic implication for the Q2 print.</w:t>
      </w:r>
    </w:p>
    <w:p>
      <w:pPr>
        <w:pStyle w:val="ListBullet"/>
        <w:ind w:left="360" w:hanging="360"/>
      </w:pPr>
      <w:r>
        <w:rPr>
          <w:rFonts w:ascii="Calibri" w:hAnsi="Calibri"/>
          <w:b/>
          <w:color w:val="525866"/>
          <w:sz w:val="22"/>
        </w:rPr>
        <w:t xml:space="preserve">May 18, 2026 — COO Succession Announced (8-K): </w:t>
      </w:r>
      <w:r>
        <w:rPr>
          <w:rFonts w:ascii="Calibri" w:hAnsi="Calibri"/>
          <w:color w:val="525866"/>
          <w:sz w:val="22"/>
        </w:rPr>
        <w:t xml:space="preserve">Mike Hiller (former Chief Talent Officer and President – Central Division) named COO-Designate, effective December 31, 2026, succeeding Steve Herron who is retiring after 15+ years. Coley O'Brien (from The Wendy's Company) named Chief Human Resources Officer. </w:t>
      </w:r>
      <w:r>
        <w:rPr>
          <w:rFonts w:ascii="Calibri" w:hAnsi="Calibri"/>
          <w:i/>
          <w:color w:val="525866"/>
          <w:sz w:val="22"/>
        </w:rPr>
        <w:t xml:space="preserve">Implication: </w:t>
      </w:r>
      <w:r>
        <w:rPr>
          <w:rFonts w:ascii="Calibri" w:hAnsi="Calibri"/>
          <w:color w:val="525866"/>
          <w:sz w:val="22"/>
        </w:rPr>
        <w:t>Orderly transition with no guidance impact; Hiller's operational background in the Central Division is relevant to BLDR's core business.</w:t>
      </w:r>
    </w:p>
    <w:p>
      <w:pPr>
        <w:pStyle w:val="ListBullet"/>
        <w:ind w:left="360" w:hanging="360"/>
      </w:pPr>
      <w:r>
        <w:rPr>
          <w:rFonts w:ascii="Calibri" w:hAnsi="Calibri"/>
          <w:b/>
          <w:color w:val="525866"/>
          <w:sz w:val="22"/>
        </w:rPr>
        <w:t xml:space="preserve">April 30, 2026 — $500M Share Repurchase Authorization: </w:t>
      </w:r>
      <w:r>
        <w:rPr>
          <w:rFonts w:ascii="Calibri" w:hAnsi="Calibri"/>
          <w:color w:val="525866"/>
          <w:sz w:val="22"/>
        </w:rPr>
        <w:t xml:space="preserve">Board authorized up to $500M in share repurchases (inclusive of ~$200M remaining under the prior April 2025 authorization). In Q1, BLDR repurchased 3.3 million shares for $303M. Management cited the stock as trading at a "tremendous discount" to intrinsic value. </w:t>
      </w:r>
      <w:r>
        <w:rPr>
          <w:rFonts w:ascii="Calibri" w:hAnsi="Calibri"/>
          <w:i/>
          <w:color w:val="525866"/>
          <w:sz w:val="22"/>
        </w:rPr>
        <w:t xml:space="preserve">Implication: </w:t>
      </w:r>
      <w:r>
        <w:rPr>
          <w:rFonts w:ascii="Calibri" w:hAnsi="Calibri"/>
          <w:color w:val="525866"/>
          <w:sz w:val="22"/>
        </w:rPr>
        <w:t>Signals management confidence in the balance sheet and long-term value; buyback activity at current prices (~$67–$74) is accretive if the housing cycle recovers.</w:t>
      </w:r>
    </w:p>
    <w:p>
      <w:pPr>
        <w:pStyle w:val="ListBullet"/>
        <w:ind w:left="360" w:hanging="360"/>
      </w:pPr>
      <w:r>
        <w:rPr>
          <w:rFonts w:ascii="Calibri" w:hAnsi="Calibri"/>
          <w:b/>
          <w:color w:val="525866"/>
          <w:sz w:val="22"/>
        </w:rPr>
        <w:t xml:space="preserve">Macro — Federal Reserve (July 29, 2026): </w:t>
      </w:r>
      <w:r>
        <w:rPr>
          <w:rFonts w:ascii="Calibri" w:hAnsi="Calibri"/>
          <w:color w:val="525866"/>
          <w:sz w:val="22"/>
        </w:rPr>
        <w:t xml:space="preserve">The Fed held rates steady at 3.5%–3.75% at its July meeting, with markets pricing a ~70% chance of no change and a ~30% probability of a 25bp hike. A rate hike is increasingly expected at the September meeting. Mortgage rates remain elevated (~6.4–6.5% for 30-year fixed). </w:t>
      </w:r>
      <w:r>
        <w:rPr>
          <w:rFonts w:ascii="Calibri" w:hAnsi="Calibri"/>
          <w:i/>
          <w:color w:val="525866"/>
          <w:sz w:val="22"/>
        </w:rPr>
        <w:t xml:space="preserve">Implication: </w:t>
      </w:r>
      <w:r>
        <w:rPr>
          <w:rFonts w:ascii="Calibri" w:hAnsi="Calibri"/>
          <w:color w:val="525866"/>
          <w:sz w:val="22"/>
        </w:rPr>
        <w:t>Elevated rates continue to suppress housing affordability and new home demand, consistent with BLDR's cautious H2 assumptions.</w:t>
      </w:r>
    </w:p>
    <w:p>
      <w:pPr>
        <w:pStyle w:val="ListBullet"/>
        <w:ind w:left="360" w:hanging="360"/>
      </w:pPr>
      <w:r>
        <w:rPr>
          <w:rFonts w:ascii="Calibri" w:hAnsi="Calibri"/>
          <w:b/>
          <w:color w:val="525866"/>
          <w:sz w:val="22"/>
        </w:rPr>
        <w:t xml:space="preserve">Macro — Iran Conflict / Energy Prices: </w:t>
      </w:r>
      <w:r>
        <w:rPr>
          <w:rFonts w:ascii="Calibri" w:hAnsi="Calibri"/>
          <w:color w:val="525866"/>
          <w:sz w:val="22"/>
        </w:rPr>
        <w:t xml:space="preserve">The Iran war has pushed diesel prices up sharply (national diesel benchmark ~$5.13/gallon, up ~34 cents in one week as of July 22). BLDR management flagged ~$100M in cost headwinds from fuel inflation on the Q1 call. </w:t>
      </w:r>
      <w:r>
        <w:rPr>
          <w:rFonts w:ascii="Calibri" w:hAnsi="Calibri"/>
          <w:i/>
          <w:color w:val="525866"/>
          <w:sz w:val="22"/>
        </w:rPr>
        <w:t xml:space="preserve">Implication: </w:t>
      </w:r>
      <w:r>
        <w:rPr>
          <w:rFonts w:ascii="Calibri" w:hAnsi="Calibri"/>
          <w:color w:val="525866"/>
          <w:sz w:val="22"/>
        </w:rPr>
        <w:t>Ongoing fuel cost pressure is a direct headwind to BLDR's delivery and logistics costs; management noted they surcharge customers but the pass-through is not immediate.</w:t>
      </w:r>
    </w:p>
    <w:p>
      <w:r>
        <w:br w:type="page"/>
      </w:r>
    </w:p>
    <w:p>
      <w:pPr>
        <w:pStyle w:val="Heading2"/>
      </w:pPr>
      <w:r>
        <w:rPr>
          <w:rFonts w:ascii="Calibri" w:hAnsi="Calibri"/>
          <w:b/>
          <w:color w:val="3B4259"/>
          <w:sz w:val="28"/>
        </w:rPr>
        <w:t>7. Peer Commentary / Read-Throughs (Last 60 Days)</w:t>
      </w:r>
    </w:p>
    <w:p>
      <w:r>
        <w:rPr>
          <w:rFonts w:ascii="Calibri" w:hAnsi="Calibri"/>
          <w:b/>
          <w:color w:val="525866"/>
          <w:sz w:val="22"/>
        </w:rPr>
        <w:t xml:space="preserve">Key Takeaway: </w:t>
      </w:r>
      <w:r>
        <w:rPr>
          <w:rFonts w:ascii="Calibri" w:hAnsi="Calibri"/>
          <w:color w:val="525866"/>
          <w:sz w:val="22"/>
        </w:rPr>
        <w:t>Peer commentary from the last 60 days is uniformly cautious on near-term housing demand — DHI (July 21) and LEN (June 12) both cut delivery guidance and flagged affordability headwinds, while MHO (July 29) described a "constrained" buyer pool; the one constructive signal is that builder incentives appear to be declining at the margin, which could be a leading indicator of eventual margin stabilization for BLDR.</w:t>
      </w:r>
    </w:p>
    <w:p>
      <w:r>
        <w:rPr>
          <w:rFonts w:ascii="Calibri" w:hAnsi="Calibri"/>
          <w:b/>
          <w:i/>
          <w:color w:val="525866"/>
          <w:sz w:val="22"/>
        </w:rPr>
        <w:t xml:space="preserve">Methodology note: </w:t>
      </w:r>
      <w:r>
        <w:rPr>
          <w:rFonts w:ascii="Calibri" w:hAnsi="Calibri"/>
          <w:i/>
          <w:color w:val="525866"/>
          <w:sz w:val="22"/>
        </w:rPr>
        <w:t>Only forward-looking commentary about each peer's then-current unreported quarter or subsequent outlook is included below. Backward-looking commentary on already-reported quarters has been excluded. Each read-through is classified as Direct (same end-market, same customer base) or Indirect (adjacent market or partial overlap).</w:t>
      </w:r>
    </w:p>
    <w:p>
      <w:pPr>
        <w:pStyle w:val="Heading3"/>
      </w:pPr>
      <w:r>
        <w:rPr>
          <w:rFonts w:ascii="Calibri" w:hAnsi="Calibri"/>
          <w:b/>
          <w:color w:val="3B4259"/>
          <w:sz w:val="24"/>
        </w:rPr>
        <w:t>D.R. Horton (DHI) — Q3 FY2026 Earnings Call, July 21, 2026</w:t>
      </w:r>
    </w:p>
    <w:p>
      <w:r>
        <w:rPr>
          <w:rFonts w:ascii="Calibri" w:hAnsi="Calibri"/>
          <w:b/>
          <w:color w:val="525866"/>
          <w:sz w:val="22"/>
        </w:rPr>
        <w:t xml:space="preserve">Read-Through Classification: </w:t>
      </w:r>
      <w:r>
        <w:rPr>
          <w:rFonts w:ascii="Calibri" w:hAnsi="Calibri"/>
          <w:color w:val="525866"/>
          <w:sz w:val="22"/>
        </w:rPr>
        <w:t>DIRECT — DHI is the largest U.S. homebuilder and a major end-market customer for BLDR's structural products, manufactured components, and value-added solutions. DHI's starts and delivery volumes directly drive BLDR's revenue.</w:t>
      </w:r>
    </w:p>
    <w:p>
      <w:r>
        <w:rPr>
          <w:rFonts w:ascii="Calibri" w:hAnsi="Calibri"/>
          <w:color w:val="525866"/>
          <w:sz w:val="22"/>
        </w:rPr>
        <w:t>Forward-Looking Commentary (for DHI's fiscal Q4 2026, July–September 2026):</w:t>
      </w:r>
    </w:p>
    <w:p>
      <w:pPr>
        <w:pStyle w:val="ListBullet"/>
        <w:ind w:left="360" w:hanging="360"/>
      </w:pPr>
      <w:r>
        <w:rPr>
          <w:rFonts w:ascii="Calibri" w:hAnsi="Calibri"/>
          <w:b/>
          <w:color w:val="525866"/>
          <w:sz w:val="22"/>
        </w:rPr>
        <w:t xml:space="preserve">Demand softening: </w:t>
      </w:r>
      <w:r>
        <w:rPr>
          <w:rFonts w:ascii="Calibri" w:hAnsi="Calibri"/>
          <w:color w:val="525866"/>
          <w:sz w:val="22"/>
        </w:rPr>
        <w:t>"Affordability constraints and cautious consumer sentiment continue to impact new home demand." Demand "softened a little bit as we went through the quarter," leading to a reduction in the annual delivery guide. Management is responding "quarter to quarter, month to month, really week to week."</w:t>
      </w:r>
    </w:p>
    <w:p>
      <w:pPr>
        <w:pStyle w:val="ListBullet"/>
        <w:ind w:left="360" w:hanging="360"/>
      </w:pPr>
      <w:r>
        <w:rPr>
          <w:rFonts w:ascii="Calibri" w:hAnsi="Calibri"/>
          <w:b/>
          <w:color w:val="525866"/>
          <w:sz w:val="22"/>
        </w:rPr>
        <w:t xml:space="preserve">Starts guidance cut: </w:t>
      </w:r>
      <w:r>
        <w:rPr>
          <w:rFonts w:ascii="Calibri" w:hAnsi="Calibri"/>
          <w:color w:val="525866"/>
          <w:sz w:val="22"/>
        </w:rPr>
        <w:t xml:space="preserve">"We expect starts in the fourth quarter to be lower than the third quarter." DHI started 23,900 homes in Q3 and expects Q4 starts to be lower. </w:t>
      </w:r>
      <w:r>
        <w:rPr>
          <w:rFonts w:ascii="Calibri" w:hAnsi="Calibri"/>
          <w:i/>
          <w:color w:val="525866"/>
          <w:sz w:val="22"/>
        </w:rPr>
        <w:t xml:space="preserve">BLDR read-through: </w:t>
      </w:r>
      <w:r>
        <w:rPr>
          <w:rFonts w:ascii="Calibri" w:hAnsi="Calibri"/>
          <w:color w:val="525866"/>
          <w:sz w:val="22"/>
        </w:rPr>
        <w:t>Lower starts = lower demand for BLDR's structural products and manufactured components in Q3 2026 and beyond.</w:t>
      </w:r>
    </w:p>
    <w:p>
      <w:pPr>
        <w:pStyle w:val="ListBullet"/>
        <w:ind w:left="360" w:hanging="360"/>
      </w:pPr>
      <w:r>
        <w:rPr>
          <w:rFonts w:ascii="Calibri" w:hAnsi="Calibri"/>
          <w:b/>
          <w:color w:val="525866"/>
          <w:sz w:val="22"/>
        </w:rPr>
        <w:t xml:space="preserve">Incentives remain elevated: </w:t>
      </w:r>
      <w:r>
        <w:rPr>
          <w:rFonts w:ascii="Calibri" w:hAnsi="Calibri"/>
          <w:color w:val="525866"/>
          <w:sz w:val="22"/>
        </w:rPr>
        <w:t xml:space="preserve">"We expect incentives to remain elevated relative to historical levels." Average mortgage rate buy-down was 1.6% (down from 1.7% in Q2), with buyer backlog rates at 4.9% vs. ~6.5% market rate. </w:t>
      </w:r>
      <w:r>
        <w:rPr>
          <w:rFonts w:ascii="Calibri" w:hAnsi="Calibri"/>
          <w:i/>
          <w:color w:val="525866"/>
          <w:sz w:val="22"/>
        </w:rPr>
        <w:t xml:space="preserve">BLDR read-through: </w:t>
      </w:r>
      <w:r>
        <w:rPr>
          <w:rFonts w:ascii="Calibri" w:hAnsi="Calibri"/>
          <w:color w:val="525866"/>
          <w:sz w:val="22"/>
        </w:rPr>
        <w:t>Builders continuing to subsidize buyer financing suggests ongoing affordability pressure; no near-term demand acceleration.</w:t>
      </w:r>
    </w:p>
    <w:p>
      <w:pPr>
        <w:pStyle w:val="ListBullet"/>
        <w:ind w:left="360" w:hanging="360"/>
      </w:pPr>
      <w:r>
        <w:rPr>
          <w:rFonts w:ascii="Calibri" w:hAnsi="Calibri"/>
          <w:b/>
          <w:color w:val="525866"/>
          <w:sz w:val="22"/>
        </w:rPr>
        <w:t xml:space="preserve">Stick-and-brick costs: </w:t>
      </w:r>
      <w:r>
        <w:rPr>
          <w:rFonts w:ascii="Calibri" w:hAnsi="Calibri"/>
          <w:color w:val="525866"/>
          <w:sz w:val="22"/>
        </w:rPr>
        <w:t xml:space="preserve">"Stick and brick costs were down 5% year over year" in Q3, with the majority of savings in framing (inclusive of labor). Expects cost savings to "hold at least into Q4." However, "we start to have a slight lumber headwind again with where lumber prices have gone." </w:t>
      </w:r>
      <w:r>
        <w:rPr>
          <w:rFonts w:ascii="Calibri" w:hAnsi="Calibri"/>
          <w:i/>
          <w:color w:val="525866"/>
          <w:sz w:val="22"/>
        </w:rPr>
        <w:t xml:space="preserve">BLDR read-through: </w:t>
      </w:r>
      <w:r>
        <w:rPr>
          <w:rFonts w:ascii="Calibri" w:hAnsi="Calibri"/>
          <w:color w:val="525866"/>
          <w:sz w:val="22"/>
        </w:rPr>
        <w:t>Framing cost declines reflect competitive pricing pressure on BLDR's structural/manufactured products; the emerging lumber headwind could be a modest tailwind for BLDR's lumber &amp; sheet goods revenue.</w:t>
      </w:r>
    </w:p>
    <w:p>
      <w:pPr>
        <w:pStyle w:val="ListBullet"/>
        <w:ind w:left="360" w:hanging="360"/>
      </w:pPr>
      <w:r>
        <w:rPr>
          <w:rFonts w:ascii="Calibri" w:hAnsi="Calibri"/>
          <w:b/>
          <w:color w:val="525866"/>
          <w:sz w:val="22"/>
        </w:rPr>
        <w:t xml:space="preserve">Fuel cost headwind: </w:t>
      </w:r>
      <w:r>
        <w:rPr>
          <w:rFonts w:ascii="Calibri" w:hAnsi="Calibri"/>
          <w:color w:val="525866"/>
          <w:sz w:val="22"/>
        </w:rPr>
        <w:t xml:space="preserve">"There is certainly some headwind out there right now with some fuel cost increases." DHI does not believe Canadian tariff changes will have a material impact on its footprint. </w:t>
      </w:r>
      <w:r>
        <w:rPr>
          <w:rFonts w:ascii="Calibri" w:hAnsi="Calibri"/>
          <w:i/>
          <w:color w:val="525866"/>
          <w:sz w:val="22"/>
        </w:rPr>
        <w:t xml:space="preserve">BLDR read-through: </w:t>
      </w:r>
      <w:r>
        <w:rPr>
          <w:rFonts w:ascii="Calibri" w:hAnsi="Calibri"/>
          <w:color w:val="525866"/>
          <w:sz w:val="22"/>
        </w:rPr>
        <w:t>Consistent with BLDR's own ~$100M fuel cost headwind flagged on the Q1 call.</w:t>
      </w:r>
    </w:p>
    <w:p>
      <w:pPr>
        <w:pStyle w:val="ListBullet"/>
        <w:ind w:left="360" w:hanging="360"/>
      </w:pPr>
      <w:r>
        <w:rPr>
          <w:rFonts w:ascii="Calibri" w:hAnsi="Calibri"/>
          <w:b/>
          <w:color w:val="525866"/>
          <w:sz w:val="22"/>
        </w:rPr>
        <w:t xml:space="preserve">Margin stability: </w:t>
      </w:r>
      <w:r>
        <w:rPr>
          <w:rFonts w:ascii="Calibri" w:hAnsi="Calibri"/>
          <w:color w:val="525866"/>
          <w:sz w:val="22"/>
        </w:rPr>
        <w:t xml:space="preserve">DHI expects home sales gross margin for Q4 2026 to be "relatively flat" vs. Q3, in the range of 20.5%–21%. "Our longer term stabilized margin should be a bit higher than this." </w:t>
      </w:r>
      <w:r>
        <w:rPr>
          <w:rFonts w:ascii="Calibri" w:hAnsi="Calibri"/>
          <w:i/>
          <w:color w:val="525866"/>
          <w:sz w:val="22"/>
        </w:rPr>
        <w:t xml:space="preserve">BLDR read-through: </w:t>
      </w:r>
      <w:r>
        <w:rPr>
          <w:rFonts w:ascii="Calibri" w:hAnsi="Calibri"/>
          <w:color w:val="525866"/>
          <w:sz w:val="22"/>
        </w:rPr>
        <w:t>Builder margin stability (not improvement) suggests no near-term pricing relief for BLDR's products; competitive dynamics remain intense.</w:t>
      </w:r>
    </w:p>
    <w:p>
      <w:pPr>
        <w:pStyle w:val="Heading3"/>
      </w:pPr>
      <w:r>
        <w:rPr>
          <w:rFonts w:ascii="Calibri" w:hAnsi="Calibri"/>
          <w:b/>
          <w:color w:val="3B4259"/>
          <w:sz w:val="24"/>
        </w:rPr>
        <w:t>Lennar (LEN) — Q2 2026 Earnings Call, June 12, 2026</w:t>
      </w:r>
    </w:p>
    <w:p>
      <w:r>
        <w:rPr>
          <w:rFonts w:ascii="Calibri" w:hAnsi="Calibri"/>
          <w:b/>
          <w:color w:val="525866"/>
          <w:sz w:val="22"/>
        </w:rPr>
        <w:t xml:space="preserve">Read-Through Classification: </w:t>
      </w:r>
      <w:r>
        <w:rPr>
          <w:rFonts w:ascii="Calibri" w:hAnsi="Calibri"/>
          <w:color w:val="525866"/>
          <w:sz w:val="22"/>
        </w:rPr>
        <w:t>DIRECT — LEN is the second-largest U.S. homebuilder and a significant end-market customer for BLDR. LEN's delivery volumes and cost commentary directly inform BLDR's demand and pricing environment.</w:t>
      </w:r>
    </w:p>
    <w:p>
      <w:r>
        <w:rPr>
          <w:rFonts w:ascii="Calibri" w:hAnsi="Calibri"/>
          <w:color w:val="525866"/>
          <w:sz w:val="22"/>
        </w:rPr>
        <w:t>Forward-Looking Commentary (for LEN's Q3 2026, July–September 2026):</w:t>
      </w:r>
    </w:p>
    <w:p>
      <w:pPr>
        <w:pStyle w:val="ListBullet"/>
        <w:ind w:left="360" w:hanging="360"/>
      </w:pPr>
      <w:r>
        <w:rPr>
          <w:rFonts w:ascii="Calibri" w:hAnsi="Calibri"/>
          <w:b/>
          <w:color w:val="525866"/>
          <w:sz w:val="22"/>
        </w:rPr>
        <w:t xml:space="preserve">Delivery guide cut: </w:t>
      </w:r>
      <w:r>
        <w:rPr>
          <w:rFonts w:ascii="Calibri" w:hAnsi="Calibri"/>
          <w:color w:val="525866"/>
          <w:sz w:val="22"/>
        </w:rPr>
        <w:t xml:space="preserve">LEN lowered its annual delivery guidance to 82,000–83,000 homes, citing "current pressures on interest rates and continued macro uncertainty." Q3 new orders expected in the range of 21,000–22,000 homes. </w:t>
      </w:r>
      <w:r>
        <w:rPr>
          <w:rFonts w:ascii="Calibri" w:hAnsi="Calibri"/>
          <w:i/>
          <w:color w:val="525866"/>
          <w:sz w:val="22"/>
        </w:rPr>
        <w:t xml:space="preserve">BLDR read-through: </w:t>
      </w:r>
      <w:r>
        <w:rPr>
          <w:rFonts w:ascii="Calibri" w:hAnsi="Calibri"/>
          <w:color w:val="525866"/>
          <w:sz w:val="22"/>
        </w:rPr>
        <w:t>Lower delivery volumes from LEN translate directly to lower demand for BLDR's products in the same geographies.</w:t>
      </w:r>
    </w:p>
    <w:p>
      <w:pPr>
        <w:pStyle w:val="ListBullet"/>
        <w:ind w:left="360" w:hanging="360"/>
      </w:pPr>
      <w:r>
        <w:rPr>
          <w:rFonts w:ascii="Calibri" w:hAnsi="Calibri"/>
          <w:b/>
          <w:color w:val="525866"/>
          <w:sz w:val="22"/>
        </w:rPr>
        <w:t xml:space="preserve">Affordability remains challenged: </w:t>
      </w:r>
      <w:r>
        <w:rPr>
          <w:rFonts w:ascii="Calibri" w:hAnsi="Calibri"/>
          <w:color w:val="525866"/>
          <w:sz w:val="22"/>
        </w:rPr>
        <w:t xml:space="preserve">Mortgage rates "stubbornly elevated in the mid to upper 6% range." At 6.5%, "the buyer at the median family income is spending above 30% of gross income on their housing needs." "Buyers are stretching and our incentives are enabling purchase." </w:t>
      </w:r>
      <w:r>
        <w:rPr>
          <w:rFonts w:ascii="Calibri" w:hAnsi="Calibri"/>
          <w:i/>
          <w:color w:val="525866"/>
          <w:sz w:val="22"/>
        </w:rPr>
        <w:t xml:space="preserve">BLDR read-through: </w:t>
      </w:r>
      <w:r>
        <w:rPr>
          <w:rFonts w:ascii="Calibri" w:hAnsi="Calibri"/>
          <w:color w:val="525866"/>
          <w:sz w:val="22"/>
        </w:rPr>
        <w:t>Affordability constraints are suppressing new home demand broadly, consistent with BLDR's cautious starts assumptions.</w:t>
      </w:r>
    </w:p>
    <w:p>
      <w:pPr>
        <w:pStyle w:val="ListBullet"/>
        <w:ind w:left="360" w:hanging="360"/>
      </w:pPr>
      <w:r>
        <w:rPr>
          <w:rFonts w:ascii="Calibri" w:hAnsi="Calibri"/>
          <w:b/>
          <w:color w:val="525866"/>
          <w:sz w:val="22"/>
        </w:rPr>
        <w:t xml:space="preserve">Incentives declining — a constructive signal: </w:t>
      </w:r>
      <w:r>
        <w:rPr>
          <w:rFonts w:ascii="Calibri" w:hAnsi="Calibri"/>
          <w:color w:val="525866"/>
          <w:sz w:val="22"/>
        </w:rPr>
        <w:t xml:space="preserve">LEN's sales incentive rate on deliveries fell to 12.9% in Q2, down from 14.1% in Q1 and 14.5% in Q4 2025. CEO Stuart Miller called this "starting to look like a trend" and "may be a leading indicator of margin recovery." </w:t>
      </w:r>
      <w:r>
        <w:rPr>
          <w:rFonts w:ascii="Calibri" w:hAnsi="Calibri"/>
          <w:i/>
          <w:color w:val="525866"/>
          <w:sz w:val="22"/>
        </w:rPr>
        <w:t xml:space="preserve">BLDR read-through: </w:t>
      </w:r>
      <w:r>
        <w:rPr>
          <w:rFonts w:ascii="Calibri" w:hAnsi="Calibri"/>
          <w:color w:val="525866"/>
          <w:sz w:val="22"/>
        </w:rPr>
        <w:t>If builder incentives are declining, it could signal that the worst of the demand-side pressure is passing, which would eventually reduce competitive pricing pressure on BLDR's products. This is the most constructive signal in the peer commentary.</w:t>
      </w:r>
    </w:p>
    <w:p>
      <w:pPr>
        <w:pStyle w:val="ListBullet"/>
        <w:ind w:left="360" w:hanging="360"/>
      </w:pPr>
      <w:r>
        <w:rPr>
          <w:rFonts w:ascii="Calibri" w:hAnsi="Calibri"/>
          <w:b/>
          <w:color w:val="525866"/>
          <w:sz w:val="22"/>
        </w:rPr>
        <w:t xml:space="preserve">Cost headwinds from commodities and building products: </w:t>
      </w:r>
      <w:r>
        <w:rPr>
          <w:rFonts w:ascii="Calibri" w:hAnsi="Calibri"/>
          <w:color w:val="525866"/>
          <w:sz w:val="22"/>
        </w:rPr>
        <w:t xml:space="preserve">"A broad range of commodities and building products continue to create headwinds across the industry." Construction costs per square foot improved to $81 (down 7% YoY) but "the cost environment remains fluid and bears close attention." Energy (gasoline up 40%+ YoY driven by Iran conflict) is a key driver. </w:t>
      </w:r>
      <w:r>
        <w:rPr>
          <w:rFonts w:ascii="Calibri" w:hAnsi="Calibri"/>
          <w:i/>
          <w:color w:val="525866"/>
          <w:sz w:val="22"/>
        </w:rPr>
        <w:t xml:space="preserve">BLDR read-through: </w:t>
      </w:r>
      <w:r>
        <w:rPr>
          <w:rFonts w:ascii="Calibri" w:hAnsi="Calibri"/>
          <w:color w:val="525866"/>
          <w:sz w:val="22"/>
        </w:rPr>
        <w:t>Broad commodity cost pressure is consistent with BLDR's specialty-product margin headwinds; fuel cost inflation is a shared challenge.</w:t>
      </w:r>
    </w:p>
    <w:p>
      <w:pPr>
        <w:pStyle w:val="ListBullet"/>
        <w:ind w:left="360" w:hanging="360"/>
      </w:pPr>
      <w:r>
        <w:rPr>
          <w:rFonts w:ascii="Calibri" w:hAnsi="Calibri"/>
          <w:b/>
          <w:color w:val="525866"/>
          <w:sz w:val="22"/>
        </w:rPr>
        <w:t xml:space="preserve">Sequential margin improvement expected: </w:t>
      </w:r>
      <w:r>
        <w:rPr>
          <w:rFonts w:ascii="Calibri" w:hAnsi="Calibri"/>
          <w:color w:val="525866"/>
          <w:sz w:val="22"/>
        </w:rPr>
        <w:t xml:space="preserve">LEN expects Q3 gross margins of approximately 16%, with "sequential margin improvement quarter to quarter as the year progresses." </w:t>
      </w:r>
      <w:r>
        <w:rPr>
          <w:rFonts w:ascii="Calibri" w:hAnsi="Calibri"/>
          <w:i/>
          <w:color w:val="525866"/>
          <w:sz w:val="22"/>
        </w:rPr>
        <w:t xml:space="preserve">BLDR read-through: </w:t>
      </w:r>
      <w:r>
        <w:rPr>
          <w:rFonts w:ascii="Calibri" w:hAnsi="Calibri"/>
          <w:color w:val="525866"/>
          <w:sz w:val="22"/>
        </w:rPr>
        <w:t>Builder margin improvement is a lagging indicator for BLDR — if builders are recovering margin, they may have less incentive to squeeze suppliers, which could eventually benefit BLDR's pricing.</w:t>
      </w:r>
    </w:p>
    <w:p>
      <w:pPr>
        <w:pStyle w:val="ListBullet"/>
        <w:ind w:left="360" w:hanging="360"/>
      </w:pPr>
      <w:r>
        <w:rPr>
          <w:rFonts w:ascii="Calibri" w:hAnsi="Calibri"/>
          <w:b/>
          <w:color w:val="525866"/>
          <w:sz w:val="22"/>
        </w:rPr>
        <w:t xml:space="preserve">Labor availability improving modestly: </w:t>
      </w:r>
      <w:r>
        <w:rPr>
          <w:rFonts w:ascii="Calibri" w:hAnsi="Calibri"/>
          <w:color w:val="525866"/>
          <w:sz w:val="22"/>
        </w:rPr>
        <w:t xml:space="preserve">"Labor availability has improved modestly in some markets as multifamily construction has slowed, providing some relief." However, "immigration policy and enthusiastic data center construction continues to create tightness in other geographies." </w:t>
      </w:r>
      <w:r>
        <w:rPr>
          <w:rFonts w:ascii="Calibri" w:hAnsi="Calibri"/>
          <w:i/>
          <w:color w:val="525866"/>
          <w:sz w:val="22"/>
        </w:rPr>
        <w:t xml:space="preserve">BLDR read-through: </w:t>
      </w:r>
      <w:r>
        <w:rPr>
          <w:rFonts w:ascii="Calibri" w:hAnsi="Calibri"/>
          <w:color w:val="525866"/>
          <w:sz w:val="22"/>
        </w:rPr>
        <w:t>Indirect positive for BLDR's installed products business, which benefits from labor availability; data center construction creating competing demand for labor is a headwind.</w:t>
      </w:r>
    </w:p>
    <w:p>
      <w:pPr>
        <w:pStyle w:val="Heading3"/>
      </w:pPr>
      <w:r>
        <w:rPr>
          <w:rFonts w:ascii="Calibri" w:hAnsi="Calibri"/>
          <w:b/>
          <w:color w:val="3B4259"/>
          <w:sz w:val="24"/>
        </w:rPr>
        <w:t>M/I Homes (MHO) — Q2 2026 Earnings Call, July 29, 2026</w:t>
      </w:r>
    </w:p>
    <w:p>
      <w:r>
        <w:rPr>
          <w:rFonts w:ascii="Calibri" w:hAnsi="Calibri"/>
          <w:b/>
          <w:color w:val="525866"/>
          <w:sz w:val="22"/>
        </w:rPr>
        <w:t xml:space="preserve">Read-Through Classification: </w:t>
      </w:r>
      <w:r>
        <w:rPr>
          <w:rFonts w:ascii="Calibri" w:hAnsi="Calibri"/>
          <w:color w:val="525866"/>
          <w:sz w:val="22"/>
        </w:rPr>
        <w:t>DIRECT (regional) — MHO is a mid-size homebuilder operating in 17 markets across the Midwest, Mid-Atlantic, and Southeast. Its commentary is most relevant for BLDR's operations in those geographies.</w:t>
      </w:r>
    </w:p>
    <w:p>
      <w:r>
        <w:rPr>
          <w:rFonts w:ascii="Calibri" w:hAnsi="Calibri"/>
          <w:color w:val="525866"/>
          <w:sz w:val="22"/>
        </w:rPr>
        <w:t>Forward-Looking Commentary (for MHO's H2 2026 and beyond):</w:t>
      </w:r>
    </w:p>
    <w:p>
      <w:pPr>
        <w:pStyle w:val="ListBullet"/>
        <w:ind w:left="360" w:hanging="360"/>
      </w:pPr>
      <w:r>
        <w:rPr>
          <w:rFonts w:ascii="Calibri" w:hAnsi="Calibri"/>
          <w:b/>
          <w:color w:val="525866"/>
          <w:sz w:val="22"/>
        </w:rPr>
        <w:t xml:space="preserve">Constrained buyer pool: </w:t>
      </w:r>
      <w:r>
        <w:rPr>
          <w:rFonts w:ascii="Calibri" w:hAnsi="Calibri"/>
          <w:color w:val="525866"/>
          <w:sz w:val="22"/>
        </w:rPr>
        <w:t xml:space="preserve">CEO Bob Schottenstein: "The buyer pool is relatively constrained and we're all fighting for those that are out there." A "massive amount of buyers" are held back by "the current rate environment, the uncertainty in the economy, lack of confidence, affordability." </w:t>
      </w:r>
      <w:r>
        <w:rPr>
          <w:rFonts w:ascii="Calibri" w:hAnsi="Calibri"/>
          <w:i/>
          <w:color w:val="525866"/>
          <w:sz w:val="22"/>
        </w:rPr>
        <w:t xml:space="preserve">BLDR read-through: </w:t>
      </w:r>
      <w:r>
        <w:rPr>
          <w:rFonts w:ascii="Calibri" w:hAnsi="Calibri"/>
          <w:color w:val="525866"/>
          <w:sz w:val="22"/>
        </w:rPr>
        <w:t>Constrained buyer pool = lower starts activity = lower demand for BLDR's products in MHO's markets.</w:t>
      </w:r>
    </w:p>
    <w:p>
      <w:pPr>
        <w:pStyle w:val="ListBullet"/>
        <w:ind w:left="360" w:hanging="360"/>
      </w:pPr>
      <w:r>
        <w:rPr>
          <w:rFonts w:ascii="Calibri" w:hAnsi="Calibri"/>
          <w:b/>
          <w:color w:val="525866"/>
          <w:sz w:val="22"/>
        </w:rPr>
        <w:t xml:space="preserve">Seasonal pickup expected in fall: </w:t>
      </w:r>
      <w:r>
        <w:rPr>
          <w:rFonts w:ascii="Calibri" w:hAnsi="Calibri"/>
          <w:color w:val="525866"/>
          <w:sz w:val="22"/>
        </w:rPr>
        <w:t xml:space="preserve">"We're in the summer right now. It's a seasonally a little bit less robust time, excited to move into the fall when, at least historically, business tends to pick up a little bit." </w:t>
      </w:r>
      <w:r>
        <w:rPr>
          <w:rFonts w:ascii="Calibri" w:hAnsi="Calibri"/>
          <w:i/>
          <w:color w:val="525866"/>
          <w:sz w:val="22"/>
        </w:rPr>
        <w:t xml:space="preserve">BLDR read-through: </w:t>
      </w:r>
      <w:r>
        <w:rPr>
          <w:rFonts w:ascii="Calibri" w:hAnsi="Calibri"/>
          <w:color w:val="525866"/>
          <w:sz w:val="22"/>
        </w:rPr>
        <w:t>Seasonal demand pickup in Q3/Q4 is consistent with BLDR's guidance for a heavier H2 contribution; however, MHO's language is cautious rather than confident.</w:t>
      </w:r>
    </w:p>
    <w:p>
      <w:pPr>
        <w:pStyle w:val="ListBullet"/>
        <w:ind w:left="360" w:hanging="360"/>
      </w:pPr>
      <w:r>
        <w:rPr>
          <w:rFonts w:ascii="Calibri" w:hAnsi="Calibri"/>
          <w:b/>
          <w:color w:val="525866"/>
          <w:sz w:val="22"/>
        </w:rPr>
        <w:t xml:space="preserve">Mortgage rate buy-downs to continue: </w:t>
      </w:r>
      <w:r>
        <w:rPr>
          <w:rFonts w:ascii="Calibri" w:hAnsi="Calibri"/>
          <w:color w:val="525866"/>
          <w:sz w:val="22"/>
        </w:rPr>
        <w:t xml:space="preserve">MHO will "continue to use mortgage rate buy downs as our primary incentive" for the "foreseeable future." With mortgage rates up, "that puts pressure on that buy down amount." </w:t>
      </w:r>
      <w:r>
        <w:rPr>
          <w:rFonts w:ascii="Calibri" w:hAnsi="Calibri"/>
          <w:i/>
          <w:color w:val="525866"/>
          <w:sz w:val="22"/>
        </w:rPr>
        <w:t xml:space="preserve">BLDR read-through: </w:t>
      </w:r>
      <w:r>
        <w:rPr>
          <w:rFonts w:ascii="Calibri" w:hAnsi="Calibri"/>
          <w:color w:val="525866"/>
          <w:sz w:val="22"/>
        </w:rPr>
        <w:t>Continued incentive use signals no near-term demand normalization; builders remain in a defensive posture.</w:t>
      </w:r>
    </w:p>
    <w:p>
      <w:pPr>
        <w:pStyle w:val="ListBullet"/>
        <w:ind w:left="360" w:hanging="360"/>
      </w:pPr>
      <w:r>
        <w:rPr>
          <w:rFonts w:ascii="Calibri" w:hAnsi="Calibri"/>
          <w:b/>
          <w:color w:val="525866"/>
          <w:sz w:val="22"/>
        </w:rPr>
        <w:t xml:space="preserve">Cost pressures from data center construction: </w:t>
      </w:r>
      <w:r>
        <w:rPr>
          <w:rFonts w:ascii="Calibri" w:hAnsi="Calibri"/>
          <w:color w:val="525866"/>
          <w:sz w:val="22"/>
        </w:rPr>
        <w:t xml:space="preserve">"Data center people hiring a lot of subs and suppliers to do work for them. Pressures on concrete and energy because of that, there's a lot of things going on." Finished lot costs up ~8% YoY. </w:t>
      </w:r>
      <w:r>
        <w:rPr>
          <w:rFonts w:ascii="Calibri" w:hAnsi="Calibri"/>
          <w:i/>
          <w:color w:val="525866"/>
          <w:sz w:val="22"/>
        </w:rPr>
        <w:t xml:space="preserve">BLDR read-through: </w:t>
      </w:r>
      <w:r>
        <w:rPr>
          <w:rFonts w:ascii="Calibri" w:hAnsi="Calibri"/>
          <w:color w:val="525866"/>
          <w:sz w:val="22"/>
        </w:rPr>
        <w:t>Data center construction is creating competing demand for labor and materials, which could tighten supply and support pricing for BLDR's specialty products in certain markets.</w:t>
      </w:r>
    </w:p>
    <w:p>
      <w:pPr>
        <w:pStyle w:val="ListBullet"/>
        <w:ind w:left="360" w:hanging="360"/>
      </w:pPr>
      <w:r>
        <w:rPr>
          <w:rFonts w:ascii="Calibri" w:hAnsi="Calibri"/>
          <w:b/>
          <w:color w:val="525866"/>
          <w:sz w:val="22"/>
        </w:rPr>
        <w:t xml:space="preserve">Community count growth in H2: </w:t>
      </w:r>
      <w:r>
        <w:rPr>
          <w:rFonts w:ascii="Calibri" w:hAnsi="Calibri"/>
          <w:color w:val="525866"/>
          <w:sz w:val="22"/>
        </w:rPr>
        <w:t xml:space="preserve">MHO expects to open more new communities in H2 than H1, with average 2026 community count up ~5% YoY. "We are now seeing in most of our markets some better opportunities at finish lots." </w:t>
      </w:r>
      <w:r>
        <w:rPr>
          <w:rFonts w:ascii="Calibri" w:hAnsi="Calibri"/>
          <w:i/>
          <w:color w:val="525866"/>
          <w:sz w:val="22"/>
        </w:rPr>
        <w:t xml:space="preserve">BLDR read-through: </w:t>
      </w:r>
      <w:r>
        <w:rPr>
          <w:rFonts w:ascii="Calibri" w:hAnsi="Calibri"/>
          <w:color w:val="525866"/>
          <w:sz w:val="22"/>
        </w:rPr>
        <w:t>New community openings are a leading indicator of future starts activity; modestly positive for BLDR's medium-term demand outlook in MHO's markets.</w:t>
      </w:r>
    </w:p>
    <w:p>
      <w:pPr>
        <w:pStyle w:val="Heading3"/>
      </w:pPr>
      <w:r>
        <w:rPr>
          <w:rFonts w:ascii="Calibri" w:hAnsi="Calibri"/>
          <w:b/>
          <w:color w:val="3B4259"/>
          <w:sz w:val="24"/>
        </w:rPr>
        <w:t>United States Lime &amp; Minerals (USLM) — Q2 2026 Earnings Release, July 29, 2026</w:t>
      </w:r>
    </w:p>
    <w:p>
      <w:r>
        <w:rPr>
          <w:rFonts w:ascii="Calibri" w:hAnsi="Calibri"/>
          <w:b/>
          <w:color w:val="525866"/>
          <w:sz w:val="22"/>
        </w:rPr>
        <w:t xml:space="preserve">Read-Through Classification: </w:t>
      </w:r>
      <w:r>
        <w:rPr>
          <w:rFonts w:ascii="Calibri" w:hAnsi="Calibri"/>
          <w:color w:val="525866"/>
          <w:sz w:val="22"/>
        </w:rPr>
        <w:t>INDIRECT — USLM is a manufacturer of lime and limestone products supplying the construction industry. Its commentary provides a read on broader construction demand trends, not homebuilding specifically.</w:t>
      </w:r>
    </w:p>
    <w:p>
      <w:pPr>
        <w:pStyle w:val="ListBullet"/>
        <w:ind w:left="360" w:hanging="360"/>
      </w:pPr>
      <w:r>
        <w:rPr>
          <w:rFonts w:ascii="Calibri" w:hAnsi="Calibri"/>
          <w:b/>
          <w:color w:val="525866"/>
          <w:sz w:val="22"/>
        </w:rPr>
        <w:t xml:space="preserve">Strong construction demand from data centers: </w:t>
      </w:r>
      <w:r>
        <w:rPr>
          <w:rFonts w:ascii="Calibri" w:hAnsi="Calibri"/>
          <w:color w:val="525866"/>
          <w:sz w:val="22"/>
        </w:rPr>
        <w:t xml:space="preserve">CEO Timothy Byrne: "We anticipate that data center projects should continue to support strong construction demand." A new kiln at USLM's Texas facility will come online "this summer," adding production capacity. </w:t>
      </w:r>
      <w:r>
        <w:rPr>
          <w:rFonts w:ascii="Calibri" w:hAnsi="Calibri"/>
          <w:i/>
          <w:color w:val="525866"/>
          <w:sz w:val="22"/>
        </w:rPr>
        <w:t xml:space="preserve">BLDR read-through: </w:t>
      </w:r>
      <w:r>
        <w:rPr>
          <w:rFonts w:ascii="Calibri" w:hAnsi="Calibri"/>
          <w:color w:val="525866"/>
          <w:sz w:val="22"/>
        </w:rPr>
        <w:t>Strong non-residential construction demand (data centers) is an indirect positive for the broader building materials supply chain, but does not directly benefit BLDR's residential-focused business. The competing demand for labor and materials from data center construction could tighten supply and support pricing for BLDR's specialty products.</w:t>
      </w:r>
    </w:p>
    <w:p>
      <w:r>
        <w:rPr>
          <w:rFonts w:ascii="Calibri" w:hAnsi="Calibri"/>
          <w:color w:val="525866"/>
          <w:sz w:val="22"/>
        </w:rPr>
        <w:t>Peer Commentary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Forward Period</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Net Signal for BLDR</w:t>
            </w:r>
          </w:p>
        </w:tc>
      </w:tr>
      <w:tr>
        <w:tc>
          <w:tcPr>
            <w:tcW w:type="dxa" w:w="1728"/>
          </w:tcPr>
          <w:p>
            <w:r>
              <w:rPr>
                <w:rFonts w:ascii="Calibri" w:hAnsi="Calibri"/>
                <w:sz w:val="22"/>
              </w:rPr>
              <w:t>DHI</w:t>
            </w:r>
          </w:p>
        </w:tc>
        <w:tc>
          <w:tcPr>
            <w:tcW w:type="dxa" w:w="1728"/>
          </w:tcPr>
          <w:p>
            <w:r>
              <w:rPr>
                <w:rFonts w:ascii="Calibri" w:hAnsi="Calibri"/>
                <w:sz w:val="22"/>
              </w:rPr>
              <w:t>Jul 21, 2026</w:t>
            </w:r>
          </w:p>
        </w:tc>
        <w:tc>
          <w:tcPr>
            <w:tcW w:type="dxa" w:w="1728"/>
          </w:tcPr>
          <w:p>
            <w:r>
              <w:rPr>
                <w:rFonts w:ascii="Calibri" w:hAnsi="Calibri"/>
                <w:sz w:val="22"/>
              </w:rPr>
              <w:t>DHI fiscal Q4 2026 (Jul–Sep)</w:t>
            </w:r>
          </w:p>
        </w:tc>
        <w:tc>
          <w:tcPr>
            <w:tcW w:type="dxa" w:w="1728"/>
          </w:tcPr>
          <w:p>
            <w:r>
              <w:rPr>
                <w:rFonts w:ascii="Calibri" w:hAnsi="Calibri"/>
                <w:sz w:val="22"/>
              </w:rPr>
              <w:t>Direct</w:t>
            </w:r>
          </w:p>
        </w:tc>
        <w:tc>
          <w:tcPr>
            <w:tcW w:type="dxa" w:w="1728"/>
          </w:tcPr>
          <w:p>
            <w:r>
              <w:rPr>
                <w:rFonts w:ascii="Calibri" w:hAnsi="Calibri"/>
                <w:b/>
                <w:color w:val="E5484D"/>
                <w:sz w:val="22"/>
              </w:rPr>
              <w:t>Negative — starts cut, demand softening, incentives elevated</w:t>
            </w:r>
          </w:p>
        </w:tc>
      </w:tr>
      <w:tr>
        <w:tc>
          <w:tcPr>
            <w:tcW w:type="dxa" w:w="1728"/>
          </w:tcPr>
          <w:p>
            <w:r>
              <w:rPr>
                <w:rFonts w:ascii="Calibri" w:hAnsi="Calibri"/>
                <w:sz w:val="22"/>
              </w:rPr>
              <w:t>LEN</w:t>
            </w:r>
          </w:p>
        </w:tc>
        <w:tc>
          <w:tcPr>
            <w:tcW w:type="dxa" w:w="1728"/>
          </w:tcPr>
          <w:p>
            <w:r>
              <w:rPr>
                <w:rFonts w:ascii="Calibri" w:hAnsi="Calibri"/>
                <w:sz w:val="22"/>
              </w:rPr>
              <w:t>Jun 12, 2026</w:t>
            </w:r>
          </w:p>
        </w:tc>
        <w:tc>
          <w:tcPr>
            <w:tcW w:type="dxa" w:w="1728"/>
          </w:tcPr>
          <w:p>
            <w:r>
              <w:rPr>
                <w:rFonts w:ascii="Calibri" w:hAnsi="Calibri"/>
                <w:sz w:val="22"/>
              </w:rPr>
              <w:t>LEN Q3 2026 (Jul–Sep)</w:t>
            </w:r>
          </w:p>
        </w:tc>
        <w:tc>
          <w:tcPr>
            <w:tcW w:type="dxa" w:w="1728"/>
          </w:tcPr>
          <w:p>
            <w:r>
              <w:rPr>
                <w:rFonts w:ascii="Calibri" w:hAnsi="Calibri"/>
                <w:sz w:val="22"/>
              </w:rPr>
              <w:t>Direct</w:t>
            </w:r>
          </w:p>
        </w:tc>
        <w:tc>
          <w:tcPr>
            <w:tcW w:type="dxa" w:w="1728"/>
          </w:tcPr>
          <w:p>
            <w:r>
              <w:rPr>
                <w:rFonts w:ascii="Calibri" w:hAnsi="Calibri"/>
                <w:b/>
                <w:color w:val="E5484D"/>
                <w:sz w:val="22"/>
              </w:rPr>
              <w:t>Mixed — delivery guide cut but incentives declining (constructive leading indicator)</w:t>
            </w:r>
          </w:p>
        </w:tc>
      </w:tr>
      <w:tr>
        <w:tc>
          <w:tcPr>
            <w:tcW w:type="dxa" w:w="1728"/>
          </w:tcPr>
          <w:p>
            <w:r>
              <w:rPr>
                <w:rFonts w:ascii="Calibri" w:hAnsi="Calibri"/>
                <w:sz w:val="22"/>
              </w:rPr>
              <w:t>MHO</w:t>
            </w:r>
          </w:p>
        </w:tc>
        <w:tc>
          <w:tcPr>
            <w:tcW w:type="dxa" w:w="1728"/>
          </w:tcPr>
          <w:p>
            <w:r>
              <w:rPr>
                <w:rFonts w:ascii="Calibri" w:hAnsi="Calibri"/>
                <w:sz w:val="22"/>
              </w:rPr>
              <w:t>Jul 29, 2026</w:t>
            </w:r>
          </w:p>
        </w:tc>
        <w:tc>
          <w:tcPr>
            <w:tcW w:type="dxa" w:w="1728"/>
          </w:tcPr>
          <w:p>
            <w:r>
              <w:rPr>
                <w:rFonts w:ascii="Calibri" w:hAnsi="Calibri"/>
                <w:sz w:val="22"/>
              </w:rPr>
              <w:t>MHO H2 2026</w:t>
            </w:r>
          </w:p>
        </w:tc>
        <w:tc>
          <w:tcPr>
            <w:tcW w:type="dxa" w:w="1728"/>
          </w:tcPr>
          <w:p>
            <w:r>
              <w:rPr>
                <w:rFonts w:ascii="Calibri" w:hAnsi="Calibri"/>
                <w:sz w:val="22"/>
              </w:rPr>
              <w:t>Direct (regional)</w:t>
            </w:r>
          </w:p>
        </w:tc>
        <w:tc>
          <w:tcPr>
            <w:tcW w:type="dxa" w:w="1728"/>
          </w:tcPr>
          <w:p>
            <w:r>
              <w:rPr>
                <w:rFonts w:ascii="Calibri" w:hAnsi="Calibri"/>
                <w:b/>
                <w:color w:val="E5484D"/>
                <w:sz w:val="22"/>
              </w:rPr>
              <w:t>Negative — constrained buyer pool, incentives to continue; modest positive from community count growth</w:t>
            </w:r>
          </w:p>
        </w:tc>
      </w:tr>
      <w:tr>
        <w:tc>
          <w:tcPr>
            <w:tcW w:type="dxa" w:w="1728"/>
          </w:tcPr>
          <w:p>
            <w:r>
              <w:rPr>
                <w:rFonts w:ascii="Calibri" w:hAnsi="Calibri"/>
                <w:sz w:val="22"/>
              </w:rPr>
              <w:t>USLM</w:t>
            </w:r>
          </w:p>
        </w:tc>
        <w:tc>
          <w:tcPr>
            <w:tcW w:type="dxa" w:w="1728"/>
          </w:tcPr>
          <w:p>
            <w:r>
              <w:rPr>
                <w:rFonts w:ascii="Calibri" w:hAnsi="Calibri"/>
                <w:sz w:val="22"/>
              </w:rPr>
              <w:t>Jul 29, 2026</w:t>
            </w:r>
          </w:p>
        </w:tc>
        <w:tc>
          <w:tcPr>
            <w:tcW w:type="dxa" w:w="1728"/>
          </w:tcPr>
          <w:p>
            <w:r>
              <w:rPr>
                <w:rFonts w:ascii="Calibri" w:hAnsi="Calibri"/>
                <w:sz w:val="22"/>
              </w:rPr>
              <w:t>USLM Q3 2026 (summer)</w:t>
            </w:r>
          </w:p>
        </w:tc>
        <w:tc>
          <w:tcPr>
            <w:tcW w:type="dxa" w:w="1728"/>
          </w:tcPr>
          <w:p>
            <w:r>
              <w:rPr>
                <w:rFonts w:ascii="Calibri" w:hAnsi="Calibri"/>
                <w:sz w:val="22"/>
              </w:rPr>
              <w:t>Indirect</w:t>
            </w:r>
          </w:p>
        </w:tc>
        <w:tc>
          <w:tcPr>
            <w:tcW w:type="dxa" w:w="1728"/>
          </w:tcPr>
          <w:p>
            <w:r>
              <w:rPr>
                <w:rFonts w:ascii="Calibri" w:hAnsi="Calibri"/>
                <w:sz w:val="22"/>
              </w:rPr>
              <w:t>Neutral/Indirect — strong non-residential construction demand; no direct residential signal</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in the window is a discretionary open-market sale by a director in early May — not a clustered buy signal and not alarming in size; the absence of any open-market purchases by executives heading into a period of significant stock weakness is notable but not unusual given the wide guidance range and ongoing uncertainty.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(est.)</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Rush, David E.</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5,000</w:t>
            </w:r>
          </w:p>
        </w:tc>
        <w:tc>
          <w:tcPr>
            <w:tcW w:type="dxa" w:w="1080"/>
          </w:tcPr>
          <w:p>
            <w:r>
              <w:rPr>
                <w:rFonts w:ascii="Calibri" w:hAnsi="Calibri"/>
                <w:sz w:val="22"/>
              </w:rPr>
              <w:t>~$385K (est. at ~$77/share)</w:t>
            </w:r>
          </w:p>
        </w:tc>
        <w:tc>
          <w:tcPr>
            <w:tcW w:type="dxa" w:w="1080"/>
          </w:tcPr>
          <w:p>
            <w:r>
              <w:rPr>
                <w:rFonts w:ascii="Calibri" w:hAnsi="Calibri"/>
                <w:sz w:val="22"/>
              </w:rPr>
              <w:t>May 8, 2026</w:t>
            </w:r>
          </w:p>
        </w:tc>
        <w:tc>
          <w:tcPr>
            <w:tcW w:type="dxa" w:w="1080"/>
          </w:tcPr>
          <w:p>
            <w:r>
              <w:rPr>
                <w:rFonts w:ascii="Calibri" w:hAnsi="Calibri"/>
                <w:sz w:val="22"/>
              </w:rPr>
              <w:t>May 12, 2026</w:t>
            </w:r>
          </w:p>
        </w:tc>
        <w:tc>
          <w:tcPr>
            <w:tcW w:type="dxa" w:w="1080"/>
          </w:tcPr>
          <w:p>
            <w:r>
              <w:rPr>
                <w:rFonts w:ascii="Calibri" w:hAnsi="Calibri"/>
                <w:sz w:val="22"/>
              </w:rPr>
              <w:t>Discretionary sale (not 10b5-1 plan); 122,284 shares remaining post-transaction</w:t>
            </w:r>
          </w:p>
        </w:tc>
      </w:tr>
    </w:tbl>
    <w:p>
      <w:r>
        <w:rPr>
          <w:rFonts w:ascii="Calibri" w:hAnsi="Calibri"/>
          <w:color w:val="525866"/>
          <w:sz w:val="22"/>
        </w:rPr>
        <w:t>Source: Insider Transaction Data (SEC Form 4 Filings). Window covers April 30, 2026 – July 29, 2026 (filing date basis). Only open-market buys (code P) and sells (code S) are included. No open-market purchases were filed in the window. The single sale by Director Rush David E. on May 8, 2026 (filed May 12) was a discretionary transaction (not under a 10b5-1 plan) of 5,000 shares. At the time of the transaction, BLDR was trading around $77–$79/share. The sale represents a small fraction of his remaining 122,284-share position and does not constitute a meaningful insider signal.</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(Sales, EBITDA – operating, EPS – Diluted – operating, Gross profit/(loss), Value added products, Free Cash flow (FCF) – Co. defined). Source: https://insights.visiblealpha.com/mex/BLDR_US/</w:t>
      </w:r>
    </w:p>
    <w:p>
      <w:pPr>
        <w:pStyle w:val="ListBullet"/>
        <w:ind w:left="360" w:hanging="360"/>
      </w:pPr>
      <w:r>
        <w:rPr>
          <w:rFonts w:ascii="Calibri" w:hAnsi="Calibri"/>
          <w:b/>
          <w:color w:val="525866"/>
          <w:sz w:val="22"/>
        </w:rPr>
        <w:t>BLDR Q1 2026 Earnings Call Transcript</w:t>
      </w:r>
      <w:r>
        <w:rPr>
          <w:rFonts w:ascii="Calibri" w:hAnsi="Calibri"/>
          <w:color w:val="525866"/>
          <w:sz w:val="22"/>
        </w:rPr>
        <w:t xml:space="preserve"> — Q2 2026 and FY 2026 guidance, management commentary on market conditions, gross margin dynamics, cost actions, and capital allocation. April 30, 2026.</w:t>
      </w:r>
    </w:p>
    <w:p>
      <w:pPr>
        <w:pStyle w:val="ListBullet"/>
        <w:ind w:left="360" w:hanging="360"/>
      </w:pPr>
      <w:r>
        <w:rPr>
          <w:rFonts w:ascii="Calibri" w:hAnsi="Calibri"/>
          <w:b/>
          <w:color w:val="525866"/>
          <w:sz w:val="22"/>
        </w:rPr>
        <w:t>BLDR Q1 2026 Earnings Release</w:t>
      </w:r>
      <w:r>
        <w:rPr>
          <w:rFonts w:ascii="Calibri" w:hAnsi="Calibri"/>
          <w:color w:val="525866"/>
          <w:sz w:val="22"/>
        </w:rPr>
        <w:t xml:space="preserve"> — Full-year 2026 outlook, assumptions, and financial results. April 30, 2026.</w:t>
      </w:r>
    </w:p>
    <w:p>
      <w:pPr>
        <w:pStyle w:val="ListBullet"/>
        <w:ind w:left="360" w:hanging="360"/>
      </w:pPr>
      <w:r>
        <w:rPr>
          <w:rFonts w:ascii="Calibri" w:hAnsi="Calibri"/>
          <w:b/>
          <w:color w:val="525866"/>
          <w:sz w:val="22"/>
        </w:rPr>
        <w:t>BLDR 8-K (May 18, 2026)</w:t>
      </w:r>
      <w:r>
        <w:rPr>
          <w:rFonts w:ascii="Calibri" w:hAnsi="Calibri"/>
          <w:color w:val="525866"/>
          <w:sz w:val="22"/>
        </w:rPr>
        <w:t xml:space="preserve"> — COO succession announcement (Mike Hiller / Steve Herron) and Annual Meeting results.</w:t>
      </w:r>
    </w:p>
    <w:p>
      <w:pPr>
        <w:pStyle w:val="ListBullet"/>
        <w:ind w:left="360" w:hanging="360"/>
      </w:pPr>
      <w:r>
        <w:rPr>
          <w:rFonts w:ascii="Calibri" w:hAnsi="Calibri"/>
          <w:b/>
          <w:color w:val="525866"/>
          <w:sz w:val="22"/>
        </w:rPr>
        <w:t>BLDR 8-K (June 5, 2026)</w:t>
      </w:r>
      <w:r>
        <w:rPr>
          <w:rFonts w:ascii="Calibri" w:hAnsi="Calibri"/>
          <w:color w:val="525866"/>
          <w:sz w:val="22"/>
        </w:rPr>
        <w:t xml:space="preserve"> — Board director resignation (Mark A. Alexander, health reasons).</w:t>
      </w:r>
    </w:p>
    <w:p>
      <w:pPr>
        <w:pStyle w:val="ListBullet"/>
        <w:ind w:left="360" w:hanging="360"/>
      </w:pPr>
      <w:r>
        <w:rPr>
          <w:rFonts w:ascii="Calibri" w:hAnsi="Calibri"/>
          <w:b/>
          <w:color w:val="525866"/>
          <w:sz w:val="22"/>
        </w:rPr>
        <w:t>DHI Q3 FY2026 Earnings Call Transcript</w:t>
      </w:r>
      <w:r>
        <w:rPr>
          <w:rFonts w:ascii="Calibri" w:hAnsi="Calibri"/>
          <w:color w:val="525866"/>
          <w:sz w:val="22"/>
        </w:rPr>
        <w:t xml:space="preserve"> — Forward-looking commentary on DHI fiscal Q4 2026 demand, starts, incentives, and margins. July 21, 2026.</w:t>
      </w:r>
    </w:p>
    <w:p>
      <w:pPr>
        <w:pStyle w:val="ListBullet"/>
        <w:ind w:left="360" w:hanging="360"/>
      </w:pPr>
      <w:r>
        <w:rPr>
          <w:rFonts w:ascii="Calibri" w:hAnsi="Calibri"/>
          <w:b/>
          <w:color w:val="525866"/>
          <w:sz w:val="22"/>
        </w:rPr>
        <w:t>LEN Q2 2026 Earnings Call Transcript</w:t>
      </w:r>
      <w:r>
        <w:rPr>
          <w:rFonts w:ascii="Calibri" w:hAnsi="Calibri"/>
          <w:color w:val="525866"/>
          <w:sz w:val="22"/>
        </w:rPr>
        <w:t xml:space="preserve"> — Forward-looking commentary on LEN Q3 2026 orders, deliveries, affordability, and margins. June 12, 2026.</w:t>
      </w:r>
    </w:p>
    <w:p>
      <w:pPr>
        <w:pStyle w:val="ListBullet"/>
        <w:ind w:left="360" w:hanging="360"/>
      </w:pPr>
      <w:r>
        <w:rPr>
          <w:rFonts w:ascii="Calibri" w:hAnsi="Calibri"/>
          <w:b/>
          <w:color w:val="525866"/>
          <w:sz w:val="22"/>
        </w:rPr>
        <w:t>MHO Q2 2026 Earnings Call Transcript</w:t>
      </w:r>
      <w:r>
        <w:rPr>
          <w:rFonts w:ascii="Calibri" w:hAnsi="Calibri"/>
          <w:color w:val="525866"/>
          <w:sz w:val="22"/>
        </w:rPr>
        <w:t xml:space="preserve"> — Forward-looking commentary on MHO H2 2026 demand, incentives, and community count. July 29, 2026.</w:t>
      </w:r>
    </w:p>
    <w:p>
      <w:pPr>
        <w:pStyle w:val="ListBullet"/>
        <w:ind w:left="360" w:hanging="360"/>
      </w:pPr>
      <w:r>
        <w:rPr>
          <w:rFonts w:ascii="Calibri" w:hAnsi="Calibri"/>
          <w:b/>
          <w:color w:val="525866"/>
          <w:sz w:val="22"/>
        </w:rPr>
        <w:t>USLM Q2 2026 Earnings Release</w:t>
      </w:r>
      <w:r>
        <w:rPr>
          <w:rFonts w:ascii="Calibri" w:hAnsi="Calibri"/>
          <w:color w:val="525866"/>
          <w:sz w:val="22"/>
        </w:rPr>
        <w:t xml:space="preserve"> — Forward-looking commentary on construction demand from data center projects. July 29,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BLDR, XHB, and SPY from April 30, 2026 through July 30, 2026.</w:t>
      </w:r>
    </w:p>
    <w:p>
      <w:pPr>
        <w:pStyle w:val="ListBullet"/>
        <w:ind w:left="360" w:hanging="360"/>
      </w:pPr>
      <w:r>
        <w:rPr>
          <w:rFonts w:ascii="Calibri" w:hAnsi="Calibri"/>
          <w:b/>
          <w:color w:val="525866"/>
          <w:sz w:val="22"/>
        </w:rPr>
        <w:t>Insider Transaction Data (SEC Form 4)</w:t>
      </w:r>
      <w:r>
        <w:rPr>
          <w:rFonts w:ascii="Calibri" w:hAnsi="Calibri"/>
          <w:color w:val="525866"/>
          <w:sz w:val="22"/>
        </w:rPr>
        <w:t xml:space="preserve"> — Open-market insider transactions for BLDR, April 30 – July 29, 2026. Source: https://www.sec.gov/</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