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ccc3c43e519c678824a2df25a26b72621f5d7a5"/>
    <w:p>
      <w:pPr>
        <w:pStyle w:val="Heading1"/>
      </w:pPr>
      <w:r>
        <w:t xml:space="preserve">Bristol Myers Squibb (BMY) — 2026 Q2 Earnings Preview</w:t>
      </w:r>
    </w:p>
    <w:p>
      <w:pPr>
        <w:pStyle w:val="FirstParagraph"/>
      </w:pPr>
      <w:r>
        <w:rPr>
          <w:b/>
          <w:bCs/>
        </w:rPr>
        <w:t xml:space="preserve">Report:</w:t>
      </w:r>
      <w:r>
        <w:t xml:space="preserve"> </w:t>
      </w:r>
      <w:r>
        <w:t xml:space="preserve">Thursday, July 30, 2026, before the market opens</w:t>
      </w:r>
      <w:r>
        <w:br/>
      </w:r>
      <w:r>
        <w:rPr>
          <w:b/>
          <w:bCs/>
        </w:rPr>
        <w:t xml:space="preserve">Event:</w:t>
      </w:r>
      <w:r>
        <w:t xml:space="preserve"> </w:t>
      </w:r>
      <w:r>
        <w:t xml:space="preserve">2026 Q2 earnings call</w:t>
      </w:r>
      <w:r>
        <w:br/>
      </w:r>
      <w:r>
        <w:rPr>
          <w:b/>
          <w:bCs/>
        </w:rPr>
        <w:t xml:space="preserve">Share price:</w:t>
      </w:r>
      <w:r>
        <w:t xml:space="preserve"> </w:t>
      </w:r>
      <w:r>
        <w:t xml:space="preserve">approximately</w:t>
      </w:r>
      <w:r>
        <w:t xml:space="preserve"> </w:t>
      </w:r>
      <w:r>
        <w:rPr>
          <w:b/>
          <w:bCs/>
        </w:rPr>
        <w:t xml:space="preserve">$63.67</w:t>
      </w:r>
      <w:r>
        <w:t xml:space="preserve"> </w:t>
      </w:r>
      <w:r>
        <w:t xml:space="preserve">as of July 29</w:t>
      </w:r>
    </w:p>
    <w:bookmarkStart w:id="10" w:name="investment-view-going-into-the-print"/>
    <w:p>
      <w:pPr>
        <w:pStyle w:val="Heading2"/>
      </w:pPr>
      <w:r>
        <w:t xml:space="preserve">Investment view going into the print</w:t>
      </w:r>
    </w:p>
    <w:p>
      <w:pPr>
        <w:pStyle w:val="FirstParagraph"/>
      </w:pPr>
      <w:r>
        <w:t xml:space="preserve">This quarter is less about whether Bristol Myers can manufacture another modest EPS beat and more about whether its</w:t>
      </w:r>
      <w:r>
        <w:t xml:space="preserve"> </w:t>
      </w:r>
      <w:r>
        <w:rPr>
          <w:b/>
          <w:bCs/>
        </w:rPr>
        <w:t xml:space="preserve">new-product portfolio is scaling quickly enough to offset accelerating legacy-product erosion</w:t>
      </w:r>
      <w:r>
        <w:t xml:space="preserve">.</w:t>
      </w:r>
    </w:p>
    <w:p>
      <w:pPr>
        <w:pStyle w:val="BodyText"/>
      </w:pPr>
      <w:r>
        <w:t xml:space="preserve">The near-term financial setup is reasonably favorable: management said after Q1 that revenue and EPS were tracking toward the upper end of full-year guidance, Eliquis demand remained strong, and several newer products were growing rapidly. But expectations have also increased. BMY shares have risen roughly 6% since July 20 and about 15% year to date, while the 2026 consensus EPS estimate has moved close to the top of management’s range. (</w:t>
      </w:r>
      <w:hyperlink r:id="rId9">
        <w:r>
          <w:rPr>
            <w:rStyle w:val="Hyperlink"/>
          </w:rPr>
          <w:t xml:space="preserve">tradingview.com</w:t>
        </w:r>
      </w:hyperlink>
      <w:r>
        <w:t xml:space="preserve">)</w:t>
      </w:r>
    </w:p>
    <w:p>
      <w:pPr>
        <w:pStyle w:val="BodyText"/>
      </w:pPr>
      <w:r>
        <w:t xml:space="preserve">A good report therefore probably requires more than an EPS beat. Investors will want:</w:t>
      </w:r>
    </w:p>
    <w:p>
      <w:pPr>
        <w:pStyle w:val="Compact"/>
        <w:numPr>
          <w:ilvl w:val="0"/>
          <w:numId w:val="1001"/>
        </w:numPr>
      </w:pPr>
      <w:r>
        <w:rPr>
          <w:b/>
          <w:bCs/>
        </w:rPr>
        <w:t xml:space="preserve">Continued upper-end—or higher—2026 guidance</w:t>
      </w:r>
    </w:p>
    <w:p>
      <w:pPr>
        <w:pStyle w:val="Compact"/>
        <w:numPr>
          <w:ilvl w:val="0"/>
          <w:numId w:val="1001"/>
        </w:numPr>
      </w:pPr>
      <w:r>
        <w:rPr>
          <w:b/>
          <w:bCs/>
        </w:rPr>
        <w:t xml:space="preserve">Healthy growth from Eliquis after reversing Q1 inventory effects</w:t>
      </w:r>
    </w:p>
    <w:p>
      <w:pPr>
        <w:pStyle w:val="Compact"/>
        <w:numPr>
          <w:ilvl w:val="0"/>
          <w:numId w:val="1001"/>
        </w:numPr>
      </w:pPr>
      <w:r>
        <w:rPr>
          <w:b/>
          <w:bCs/>
        </w:rPr>
        <w:t xml:space="preserve">A convincing rebound in the combined Opdivo/Qvantig franchise</w:t>
      </w:r>
    </w:p>
    <w:p>
      <w:pPr>
        <w:pStyle w:val="Compact"/>
        <w:numPr>
          <w:ilvl w:val="0"/>
          <w:numId w:val="1001"/>
        </w:numPr>
      </w:pPr>
      <w:r>
        <w:rPr>
          <w:b/>
          <w:bCs/>
        </w:rPr>
        <w:t xml:space="preserve">Further acceleration from Camzyos, Breyanzi, Reblozyl and Cobenfy</w:t>
      </w:r>
    </w:p>
    <w:p>
      <w:pPr>
        <w:pStyle w:val="Compact"/>
        <w:numPr>
          <w:ilvl w:val="0"/>
          <w:numId w:val="1001"/>
        </w:numPr>
      </w:pPr>
      <w:r>
        <w:rPr>
          <w:b/>
          <w:bCs/>
        </w:rPr>
        <w:t xml:space="preserve">No slippage in the late-2026 clinical catalyst calendar</w:t>
      </w:r>
    </w:p>
    <w:p>
      <w:r>
        <w:pict>
          <v:rect style="width:0;height:1.5pt" o:hralign="center" o:hrstd="t" o:hr="t"/>
        </w:pict>
      </w:r>
    </w:p>
    <w:bookmarkEnd w:id="10"/>
    <w:bookmarkStart w:id="12" w:name="headline-expectations"/>
    <w:p>
      <w:pPr>
        <w:pStyle w:val="Heading2"/>
      </w:pPr>
      <w:r>
        <w:t xml:space="preserve">Headline expectations</w:t>
      </w:r>
    </w:p>
    <w:p>
      <w:pPr>
        <w:pStyle w:val="FirstParagraph"/>
      </w:pPr>
      <w:r>
        <w:t xml:space="preserve">Consensus varies somewhat by data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Street expectation</w:t>
            </w:r>
          </w:p>
        </w:tc>
        <w:tc>
          <w:tcPr/>
          <w:p>
            <w:pPr>
              <w:pStyle w:val="Compact"/>
              <w:jc w:val="right"/>
            </w:pPr>
            <w:r>
              <w:t xml:space="preserve">Q2 2025</w:t>
            </w:r>
          </w:p>
        </w:tc>
        <w:tc>
          <w:tcPr/>
          <w:p>
            <w:pPr>
              <w:pStyle w:val="Compact"/>
              <w:jc w:val="right"/>
            </w:pPr>
            <w:r>
              <w:t xml:space="preserve">Implied YoY</w:t>
            </w:r>
          </w:p>
        </w:tc>
      </w:tr>
      <w:tr>
        <w:tc>
          <w:tcPr/>
          <w:p>
            <w:pPr>
              <w:pStyle w:val="Compact"/>
            </w:pPr>
            <w:r>
              <w:t xml:space="preserve">Revenue</w:t>
            </w:r>
          </w:p>
        </w:tc>
        <w:tc>
          <w:tcPr/>
          <w:p>
            <w:pPr>
              <w:pStyle w:val="Compact"/>
              <w:jc w:val="right"/>
            </w:pPr>
            <m:oMath>
              <m:r>
                <m:t>11.7</m:t>
              </m:r>
              <m:r>
                <m:t>B</m:t>
              </m:r>
              <m:r>
                <m:rPr>
                  <m:sty m:val="p"/>
                </m:rPr>
                <m:t>–</m:t>
              </m:r>
            </m:oMath>
            <w:r>
              <w:rPr>
                <w:b/>
                <w:bCs/>
              </w:rPr>
              <w:t xml:space="preserve">11.9B</w:t>
            </w:r>
          </w:p>
        </w:tc>
        <w:tc>
          <w:tcPr/>
          <w:p>
            <w:pPr>
              <w:pStyle w:val="Compact"/>
              <w:jc w:val="right"/>
            </w:pPr>
            <w:r>
              <w:t xml:space="preserve">$12.27B</w:t>
            </w:r>
          </w:p>
        </w:tc>
        <w:tc>
          <w:tcPr/>
          <w:p>
            <w:pPr>
              <w:pStyle w:val="Compact"/>
              <w:jc w:val="right"/>
            </w:pPr>
            <w:r>
              <w:t xml:space="preserve">Approximately</w:t>
            </w:r>
            <w:r>
              <w:t xml:space="preserve"> </w:t>
            </w:r>
            <w:r>
              <w:rPr>
                <w:b/>
                <w:bCs/>
              </w:rPr>
              <w:t xml:space="preserve">-3% to -5%</w:t>
            </w:r>
          </w:p>
        </w:tc>
      </w:tr>
      <w:tr>
        <w:tc>
          <w:tcPr/>
          <w:p>
            <w:pPr>
              <w:pStyle w:val="Compact"/>
            </w:pPr>
            <w:r>
              <w:t xml:space="preserve">Adjusted EPS</w:t>
            </w:r>
          </w:p>
        </w:tc>
        <w:tc>
          <w:tcPr/>
          <w:p>
            <w:pPr>
              <w:pStyle w:val="Compact"/>
              <w:jc w:val="right"/>
            </w:pPr>
            <m:oMath>
              <m:r>
                <m:t>1.59</m:t>
              </m:r>
              <m:r>
                <m:rPr>
                  <m:sty m:val="p"/>
                </m:rPr>
                <m:t>–</m:t>
              </m:r>
            </m:oMath>
            <w:r>
              <w:rPr>
                <w:b/>
                <w:bCs/>
              </w:rPr>
              <w:t xml:space="preserve">1.60</w:t>
            </w:r>
          </w:p>
        </w:tc>
        <w:tc>
          <w:tcPr/>
          <w:p>
            <w:pPr>
              <w:pStyle w:val="Compact"/>
              <w:jc w:val="right"/>
            </w:pPr>
            <w:r>
              <w:t xml:space="preserve">$1.46</w:t>
            </w:r>
          </w:p>
        </w:tc>
        <w:tc>
          <w:tcPr/>
          <w:p>
            <w:pPr>
              <w:pStyle w:val="Compact"/>
              <w:jc w:val="right"/>
            </w:pPr>
            <w:r>
              <w:t xml:space="preserve">Approximately</w:t>
            </w:r>
            <w:r>
              <w:t xml:space="preserve"> </w:t>
            </w:r>
            <w:r>
              <w:rPr>
                <w:b/>
                <w:bCs/>
              </w:rPr>
              <w:t xml:space="preserve">+9%</w:t>
            </w:r>
          </w:p>
        </w:tc>
      </w:tr>
    </w:tbl>
    <w:p>
      <w:pPr>
        <w:pStyle w:val="BodyText"/>
      </w:pPr>
      <w:r>
        <w:t xml:space="preserve">Zacks places consensus at</w:t>
      </w:r>
      <w:r>
        <w:t xml:space="preserve"> </w:t>
      </w:r>
      <w:r>
        <w:rPr>
          <w:b/>
          <w:bCs/>
        </w:rPr>
        <w:t xml:space="preserve">$11.67 billion and</w:t>
      </w:r>
      <w:r>
        <w:rPr>
          <w:b/>
          <w:bCs/>
        </w:rPr>
        <w:t xml:space="preserve"> </w:t>
      </w:r>
      <m:oMath>
        <m:r>
          <m:t>1.59</m:t>
        </m:r>
        <m:r>
          <m:rPr>
            <m:sty m:val="p"/>
          </m:rPr>
          <m:t>*</m:t>
        </m:r>
        <m:r>
          <m:rPr>
            <m:sty m:val="p"/>
          </m:rPr>
          <m:t>*</m:t>
        </m:r>
        <m:r>
          <m:rPr>
            <m:sty m:val="p"/>
          </m:rPr>
          <m:t>,</m:t>
        </m:r>
        <m:r>
          <m:t>w</m:t>
        </m:r>
        <m:r>
          <m:t>h</m:t>
        </m:r>
        <m:r>
          <m:t>i</m:t>
        </m:r>
        <m:r>
          <m:t>l</m:t>
        </m:r>
        <m:r>
          <m:t>e</m:t>
        </m:r>
        <m:r>
          <m:t>a</m:t>
        </m:r>
        <m:r>
          <m:t>n</m:t>
        </m:r>
        <m:r>
          <m:t>o</m:t>
        </m:r>
        <m:r>
          <m:t>t</m:t>
        </m:r>
        <m:r>
          <m:t>h</m:t>
        </m:r>
        <m:r>
          <m:t>e</m:t>
        </m:r>
        <m:r>
          <m:t>r</m:t>
        </m:r>
        <m:r>
          <m:t>a</m:t>
        </m:r>
        <m:r>
          <m:t>g</m:t>
        </m:r>
        <m:r>
          <m:t>g</m:t>
        </m:r>
        <m:r>
          <m:t>r</m:t>
        </m:r>
        <m:r>
          <m:t>e</m:t>
        </m:r>
        <m:r>
          <m:t>g</m:t>
        </m:r>
        <m:r>
          <m:t>a</m:t>
        </m:r>
        <m:r>
          <m:t>t</m:t>
        </m:r>
        <m:r>
          <m:t>i</m:t>
        </m:r>
        <m:r>
          <m:t>o</m:t>
        </m:r>
        <m:r>
          <m:t>n</m:t>
        </m:r>
        <m:r>
          <m:t>b</m:t>
        </m:r>
        <m:r>
          <m:t>a</m:t>
        </m:r>
        <m:r>
          <m:t>s</m:t>
        </m:r>
        <m:r>
          <m:t>e</m:t>
        </m:r>
        <m:r>
          <m:t>d</m:t>
        </m:r>
        <m:r>
          <m:t>o</m:t>
        </m:r>
        <m:r>
          <m:t>n</m:t>
        </m:r>
        <m:r>
          <m:t>t</m:t>
        </m:r>
        <m:r>
          <m:t>e</m:t>
        </m:r>
        <m:r>
          <m:t>n</m:t>
        </m:r>
        <m:r>
          <m:t>a</m:t>
        </m:r>
        <m:r>
          <m:t>n</m:t>
        </m:r>
        <m:r>
          <m:t>a</m:t>
        </m:r>
        <m:r>
          <m:t>l</m:t>
        </m:r>
        <m:r>
          <m:t>y</m:t>
        </m:r>
        <m:r>
          <m:t>s</m:t>
        </m:r>
        <m:r>
          <m:t>t</m:t>
        </m:r>
        <m:r>
          <m:t>s</m:t>
        </m:r>
        <m:r>
          <m:t>s</m:t>
        </m:r>
        <m:r>
          <m:t>h</m:t>
        </m:r>
        <m:r>
          <m:t>o</m:t>
        </m:r>
        <m:r>
          <m:t>w</m:t>
        </m:r>
        <m:r>
          <m:t>s</m:t>
        </m:r>
        <m:r>
          <m:rPr>
            <m:sty m:val="p"/>
          </m:rPr>
          <m:t>*</m:t>
        </m:r>
        <m:r>
          <m:rPr>
            <m:sty m:val="p"/>
          </m:rPr>
          <m:t>*</m:t>
        </m:r>
      </m:oMath>
      <w:r>
        <w:rPr>
          <w:b/>
          <w:bCs/>
        </w:rPr>
        <w:t xml:space="preserve">11.86 billion and $1.60</w:t>
      </w:r>
      <w:r>
        <w:t xml:space="preserve">. The difference is worth noting when interpreting whether the headline release constitutes a “beat.” (</w:t>
      </w:r>
      <w:hyperlink r:id="rId9">
        <w:r>
          <w:rPr>
            <w:rStyle w:val="Hyperlink"/>
          </w:rPr>
          <w:t xml:space="preserve">tradingview.com</w:t>
        </w:r>
      </w:hyperlink>
      <w:r>
        <w:t xml:space="preserve">)</w:t>
      </w:r>
    </w:p>
    <w:p>
      <w:pPr>
        <w:pStyle w:val="BodyText"/>
      </w:pPr>
      <w:r>
        <w:t xml:space="preserve">The expected combination—lower revenue but higher adjusted EPS—captures the BMY story: steep generic erosion is still pressuring the top line, while cost reductions, product mix and comparatively low Q2 acquired-IPRD expense support earnings. BMY has preliminarily indicated no acquired-IPRD charge and $16 million of licensing income for Q2, versus a large BioNTech-related acquired-IPRD charge in the prior-year quarter. (</w:t>
      </w:r>
      <w:hyperlink r:id="rId11">
        <w:r>
          <w:rPr>
            <w:rStyle w:val="Hyperlink"/>
          </w:rPr>
          <w:t xml:space="preserve">bms.com</w:t>
        </w:r>
      </w:hyperlink>
      <w:r>
        <w:t xml:space="preserve">)</w:t>
      </w:r>
    </w:p>
    <w:p>
      <w:r>
        <w:pict>
          <v:rect style="width:0;height:1.5pt" o:hralign="center" o:hrstd="t" o:hr="t"/>
        </w:pict>
      </w:r>
    </w:p>
    <w:bookmarkEnd w:id="12"/>
    <w:bookmarkStart w:id="21" w:name="the-product-level-scorecard"/>
    <w:p>
      <w:pPr>
        <w:pStyle w:val="Heading2"/>
      </w:pPr>
      <w:r>
        <w:t xml:space="preserve">The product-level scorecard</w:t>
      </w:r>
    </w:p>
    <w:bookmarkStart w:id="14" w:name="Xc71695aff2f199c100fa813d33d268c090d613f"/>
    <w:p>
      <w:pPr>
        <w:pStyle w:val="Heading3"/>
      </w:pPr>
      <w:r>
        <w:t xml:space="preserve">1. Eliquis: strong underlying demand, but watch the inventory reversal</w:t>
      </w:r>
    </w:p>
    <w:p>
      <w:pPr>
        <w:pStyle w:val="FirstParagraph"/>
      </w:pPr>
      <w:r>
        <w:t xml:space="preserve">Eliquis generated</w:t>
      </w:r>
      <w:r>
        <w:t xml:space="preserve"> </w:t>
      </w:r>
      <w:r>
        <w:rPr>
          <w:b/>
          <w:bCs/>
        </w:rPr>
        <w:t xml:space="preserve">$4.14 billion</w:t>
      </w:r>
      <w:r>
        <w:t xml:space="preserve"> </w:t>
      </w:r>
      <w:r>
        <w:t xml:space="preserve">in Q1, up 13% excluding currency. Management said Q1 benefited from wholesaler inventory build following the U.S. list-price reduction and explicitly expected that inventory benefit to reverse in Q2. Full-year guidance calls for</w:t>
      </w:r>
      <w:r>
        <w:t xml:space="preserve"> </w:t>
      </w:r>
      <w:r>
        <w:rPr>
          <w:b/>
          <w:bCs/>
        </w:rPr>
        <w:t xml:space="preserve">10%–15% worldwide growth</w:t>
      </w:r>
      <w:r>
        <w:t xml:space="preserve"> </w:t>
      </w:r>
      <w:r>
        <w:t xml:space="preserve">in 2026. (</w:t>
      </w:r>
      <w:hyperlink r:id="rId13">
        <w:r>
          <w:rPr>
            <w:rStyle w:val="Hyperlink"/>
          </w:rPr>
          <w:t xml:space="preserve">bms.com</w:t>
        </w:r>
      </w:hyperlink>
      <w:r>
        <w:t xml:space="preserve">)</w:t>
      </w:r>
    </w:p>
    <w:p>
      <w:pPr>
        <w:pStyle w:val="BodyText"/>
      </w:pPr>
      <w:r>
        <w:t xml:space="preserve">The Q2 consensus is approximately</w:t>
      </w:r>
      <w:r>
        <w:t xml:space="preserve"> </w:t>
      </w:r>
      <w:r>
        <w:rPr>
          <w:b/>
          <w:bCs/>
        </w:rPr>
        <w:t xml:space="preserve">$4.0 billion</w:t>
      </w:r>
      <w:r>
        <w:t xml:space="preserve">, implying:</w:t>
      </w:r>
    </w:p>
    <w:p>
      <w:pPr>
        <w:pStyle w:val="Compact"/>
        <w:numPr>
          <w:ilvl w:val="0"/>
          <w:numId w:val="1002"/>
        </w:numPr>
      </w:pPr>
      <w:r>
        <w:t xml:space="preserve">A sequential decline from Q1 due partly to inventory normalization</w:t>
      </w:r>
    </w:p>
    <w:p>
      <w:pPr>
        <w:pStyle w:val="Compact"/>
        <w:numPr>
          <w:ilvl w:val="0"/>
          <w:numId w:val="1002"/>
        </w:numPr>
      </w:pPr>
      <w:r>
        <w:t xml:space="preserve">Roughly</w:t>
      </w:r>
      <w:r>
        <w:t xml:space="preserve"> </w:t>
      </w:r>
      <w:r>
        <w:rPr>
          <w:b/>
          <w:bCs/>
        </w:rPr>
        <w:t xml:space="preserve">9% year-over-year growth</w:t>
      </w:r>
      <w:r>
        <w:t xml:space="preserve"> </w:t>
      </w:r>
      <w:r>
        <w:t xml:space="preserve">from Q2 2025’s $3.68 billion</w:t>
      </w:r>
    </w:p>
    <w:p>
      <w:pPr>
        <w:pStyle w:val="Compact"/>
        <w:numPr>
          <w:ilvl w:val="0"/>
          <w:numId w:val="1002"/>
        </w:numPr>
      </w:pPr>
      <w:r>
        <w:t xml:space="preserve">Continued underlying demand strength, but potentially below the bottom of the full-year growth range on a reported quarterly comparison (</w:t>
      </w:r>
      <w:hyperlink r:id="rId9">
        <w:r>
          <w:rPr>
            <w:rStyle w:val="Hyperlink"/>
          </w:rPr>
          <w:t xml:space="preserve">tradingview.com</w:t>
        </w:r>
      </w:hyperlink>
      <w:r>
        <w:t xml:space="preserve">)</w:t>
      </w:r>
    </w:p>
    <w:p>
      <w:pPr>
        <w:pStyle w:val="FirstParagraph"/>
      </w:pPr>
      <w:r>
        <w:rPr>
          <w:b/>
          <w:bCs/>
        </w:rPr>
        <w:t xml:space="preserve">What matters:</w:t>
      </w:r>
      <w:r>
        <w:t xml:space="preserve"> </w:t>
      </w:r>
      <w:r>
        <w:t xml:space="preserve">Management’s description of demand, inventory and the second-half trajectory. A result below $4 billion would be manageable if clearly explained by inventory timing; weaker underlying demand would be more concerning.</w:t>
      </w:r>
    </w:p>
    <w:bookmarkEnd w:id="14"/>
    <w:bookmarkStart w:id="15" w:name="Xf85d483ba452f70661491c61fb76b56f9348447"/>
    <w:p>
      <w:pPr>
        <w:pStyle w:val="Heading3"/>
      </w:pPr>
      <w:r>
        <w:t xml:space="preserve">2. Opdivo and Qvantig should be assessed together</w:t>
      </w:r>
    </w:p>
    <w:p>
      <w:pPr>
        <w:pStyle w:val="FirstParagraph"/>
      </w:pPr>
      <w:r>
        <w:t xml:space="preserve">Standalone Opdivo disappointed in Q1, falling to</w:t>
      </w:r>
      <w:r>
        <w:t xml:space="preserve"> </w:t>
      </w:r>
      <w:r>
        <w:rPr>
          <w:b/>
          <w:bCs/>
        </w:rPr>
        <w:t xml:space="preserve">$2.15 billion</w:t>
      </w:r>
      <w:r>
        <w:t xml:space="preserve"> </w:t>
      </w:r>
      <w:r>
        <w:t xml:space="preserve">as U.S. wholesaler inventories dropped to the low end of the normal range and patients continued converting to subcutaneous Opdivo Qvantig. Management said Qvantig had converted more than 10% of U.S. IV business and maintained a longer-term conversion target of approximately 30%–40%. (</w:t>
      </w:r>
      <w:hyperlink r:id="rId13">
        <w:r>
          <w:rPr>
            <w:rStyle w:val="Hyperlink"/>
          </w:rPr>
          <w:t xml:space="preserve">bms.com</w:t>
        </w:r>
      </w:hyperlink>
      <w:r>
        <w:t xml:space="preserve">)</w:t>
      </w:r>
    </w:p>
    <w:p>
      <w:pPr>
        <w:pStyle w:val="BodyText"/>
      </w:pPr>
      <w:r>
        <w:t xml:space="preserve">Consensus calls for about</w:t>
      </w:r>
      <w:r>
        <w:t xml:space="preserve"> </w:t>
      </w:r>
      <w:r>
        <w:rPr>
          <w:b/>
          <w:bCs/>
        </w:rPr>
        <w:t xml:space="preserve">$2.4 billion of Opdivo sales</w:t>
      </w:r>
      <w:r>
        <w:t xml:space="preserve">, down roughly 6% year over year but rebounding substantially from Q1. (</w:t>
      </w:r>
      <w:hyperlink r:id="rId9">
        <w:r>
          <w:rPr>
            <w:rStyle w:val="Hyperlink"/>
          </w:rPr>
          <w:t xml:space="preserve">tradingview.com</w:t>
        </w:r>
      </w:hyperlink>
      <w:r>
        <w:t xml:space="preserve">)</w:t>
      </w:r>
    </w:p>
    <w:p>
      <w:pPr>
        <w:pStyle w:val="BodyText"/>
      </w:pPr>
      <w:r>
        <w:t xml:space="preserve">Investors should avoid overreacting to the reported Opdivo number in isolation. The important metrics are:</w:t>
      </w:r>
    </w:p>
    <w:p>
      <w:pPr>
        <w:pStyle w:val="Compact"/>
        <w:numPr>
          <w:ilvl w:val="0"/>
          <w:numId w:val="1003"/>
        </w:numPr>
      </w:pPr>
      <w:r>
        <w:rPr>
          <w:b/>
          <w:bCs/>
        </w:rPr>
        <w:t xml:space="preserve">Opdivo plus Qvantig combined revenue</w:t>
      </w:r>
    </w:p>
    <w:p>
      <w:pPr>
        <w:pStyle w:val="Compact"/>
        <w:numPr>
          <w:ilvl w:val="0"/>
          <w:numId w:val="1003"/>
        </w:numPr>
      </w:pPr>
      <w:r>
        <w:t xml:space="preserve">Whether Q1’s inventory drawdown normalized</w:t>
      </w:r>
    </w:p>
    <w:p>
      <w:pPr>
        <w:pStyle w:val="Compact"/>
        <w:numPr>
          <w:ilvl w:val="0"/>
          <w:numId w:val="1003"/>
        </w:numPr>
      </w:pPr>
      <w:r>
        <w:t xml:space="preserve">Qvantig conversion rates across tumor types</w:t>
      </w:r>
    </w:p>
    <w:p>
      <w:pPr>
        <w:pStyle w:val="Compact"/>
        <w:numPr>
          <w:ilvl w:val="0"/>
          <w:numId w:val="1003"/>
        </w:numPr>
      </w:pPr>
      <w:r>
        <w:t xml:space="preserve">Whether subcutaneous conversion is maintaining the franchise’s economics rather than merely shifting reported sales between product lines</w:t>
      </w:r>
    </w:p>
    <w:p>
      <w:pPr>
        <w:pStyle w:val="FirstParagraph"/>
      </w:pPr>
      <w:r>
        <w:t xml:space="preserve">A combined-franchise miss would be more significant than an isolated Opdivo shortfall accompanied by a strong Qvantig result.</w:t>
      </w:r>
    </w:p>
    <w:bookmarkEnd w:id="15"/>
    <w:bookmarkStart w:id="20" w:name="Xa4441f7c28dde0a8dba07a0548b7bd80924cd23"/>
    <w:p>
      <w:pPr>
        <w:pStyle w:val="Heading3"/>
      </w:pPr>
      <w:r>
        <w:t xml:space="preserve">3. The newer growth brands must keep compounding</w:t>
      </w:r>
    </w:p>
    <w:p>
      <w:pPr>
        <w:pStyle w:val="FirstParagraph"/>
      </w:pPr>
      <w:r>
        <w:t xml:space="preserve">The most important commercial evidence for BMY’s post-legacy future will come from the following products: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Product</w:t>
            </w:r>
          </w:p>
        </w:tc>
        <w:tc>
          <w:tcPr/>
          <w:p>
            <w:pPr>
              <w:pStyle w:val="Compact"/>
              <w:jc w:val="right"/>
            </w:pPr>
            <w:r>
              <w:t xml:space="preserve">Q1 2026 sales</w:t>
            </w:r>
          </w:p>
        </w:tc>
        <w:tc>
          <w:tcPr/>
          <w:p>
            <w:pPr>
              <w:pStyle w:val="Compact"/>
            </w:pPr>
            <w:r>
              <w:t xml:space="preserve">Q2 reference point</w:t>
            </w:r>
          </w:p>
        </w:tc>
      </w:tr>
      <w:tr>
        <w:tc>
          <w:tcPr/>
          <w:p>
            <w:pPr>
              <w:pStyle w:val="Compact"/>
            </w:pPr>
            <w:r>
              <w:t xml:space="preserve">Reblozyl</w:t>
            </w:r>
          </w:p>
        </w:tc>
        <w:tc>
          <w:tcPr/>
          <w:p>
            <w:pPr>
              <w:pStyle w:val="Compact"/>
              <w:jc w:val="right"/>
            </w:pPr>
            <w:r>
              <w:t xml:space="preserve">$555M</w:t>
            </w:r>
          </w:p>
        </w:tc>
        <w:tc>
          <w:tcPr/>
          <w:p>
            <w:pPr>
              <w:pStyle w:val="Compact"/>
            </w:pPr>
            <w:r>
              <w:t xml:space="preserve">Consensus around</w:t>
            </w:r>
            <w:r>
              <w:t xml:space="preserve"> </w:t>
            </w:r>
            <w:r>
              <w:rPr>
                <w:b/>
                <w:bCs/>
              </w:rPr>
              <w:t xml:space="preserve">$660M</w:t>
            </w:r>
          </w:p>
        </w:tc>
      </w:tr>
      <w:tr>
        <w:tc>
          <w:tcPr/>
          <w:p>
            <w:pPr>
              <w:pStyle w:val="Compact"/>
            </w:pPr>
            <w:r>
              <w:t xml:space="preserve">Breyanzi</w:t>
            </w:r>
          </w:p>
        </w:tc>
        <w:tc>
          <w:tcPr/>
          <w:p>
            <w:pPr>
              <w:pStyle w:val="Compact"/>
              <w:jc w:val="right"/>
            </w:pPr>
            <w:r>
              <w:t xml:space="preserve">$411M</w:t>
            </w:r>
          </w:p>
        </w:tc>
        <w:tc>
          <w:tcPr/>
          <w:p>
            <w:pPr>
              <w:pStyle w:val="Compact"/>
            </w:pPr>
            <w:r>
              <w:t xml:space="preserve">Consensus around</w:t>
            </w:r>
            <w:r>
              <w:t xml:space="preserve"> </w:t>
            </w:r>
            <w:r>
              <w:rPr>
                <w:b/>
                <w:bCs/>
              </w:rPr>
              <w:t xml:space="preserve">$447M</w:t>
            </w:r>
          </w:p>
        </w:tc>
      </w:tr>
      <w:tr>
        <w:tc>
          <w:tcPr/>
          <w:p>
            <w:pPr>
              <w:pStyle w:val="Compact"/>
            </w:pPr>
            <w:r>
              <w:t xml:space="preserve">Camzyos</w:t>
            </w:r>
          </w:p>
        </w:tc>
        <w:tc>
          <w:tcPr/>
          <w:p>
            <w:pPr>
              <w:pStyle w:val="Compact"/>
              <w:jc w:val="right"/>
            </w:pPr>
            <w:r>
              <w:t xml:space="preserve">$314M</w:t>
            </w:r>
          </w:p>
        </w:tc>
        <w:tc>
          <w:tcPr/>
          <w:p>
            <w:pPr>
              <w:pStyle w:val="Compact"/>
            </w:pPr>
            <w:r>
              <w:t xml:space="preserve">Sequential growth expected</w:t>
            </w:r>
          </w:p>
        </w:tc>
      </w:tr>
      <w:tr>
        <w:tc>
          <w:tcPr/>
          <w:p>
            <w:pPr>
              <w:pStyle w:val="Compact"/>
            </w:pPr>
            <w:r>
              <w:t xml:space="preserve">Opdualag</w:t>
            </w:r>
          </w:p>
        </w:tc>
        <w:tc>
          <w:tcPr/>
          <w:p>
            <w:pPr>
              <w:pStyle w:val="Compact"/>
              <w:jc w:val="right"/>
            </w:pPr>
            <w:r>
              <w:t xml:space="preserve">$295M</w:t>
            </w:r>
          </w:p>
        </w:tc>
        <w:tc>
          <w:tcPr/>
          <w:p>
            <w:pPr>
              <w:pStyle w:val="Compact"/>
            </w:pPr>
            <w:r>
              <w:t xml:space="preserve">Consensus around</w:t>
            </w:r>
            <w:r>
              <w:t xml:space="preserve"> </w:t>
            </w:r>
            <w:r>
              <w:rPr>
                <w:b/>
                <w:bCs/>
              </w:rPr>
              <w:t xml:space="preserve">$331M</w:t>
            </w:r>
          </w:p>
        </w:tc>
      </w:tr>
      <w:tr>
        <w:tc>
          <w:tcPr/>
          <w:p>
            <w:pPr>
              <w:pStyle w:val="Compact"/>
            </w:pPr>
            <w:r>
              <w:t xml:space="preserve">Cobenfy</w:t>
            </w:r>
          </w:p>
        </w:tc>
        <w:tc>
          <w:tcPr/>
          <w:p>
            <w:pPr>
              <w:pStyle w:val="Compact"/>
              <w:jc w:val="right"/>
            </w:pPr>
            <w:r>
              <w:t xml:space="preserve">$56M</w:t>
            </w:r>
          </w:p>
        </w:tc>
        <w:tc>
          <w:tcPr/>
          <w:p>
            <w:pPr>
              <w:pStyle w:val="Compact"/>
            </w:pPr>
            <w:r>
              <w:t xml:space="preserve">Sequential acceleration is the key test</w:t>
            </w:r>
          </w:p>
        </w:tc>
      </w:tr>
      <w:tr>
        <w:tc>
          <w:tcPr/>
          <w:p>
            <w:pPr>
              <w:pStyle w:val="Compact"/>
            </w:pPr>
            <w:r>
              <w:t xml:space="preserve">Qvantig</w:t>
            </w:r>
          </w:p>
        </w:tc>
        <w:tc>
          <w:tcPr/>
          <w:p>
            <w:pPr>
              <w:pStyle w:val="Compact"/>
              <w:jc w:val="right"/>
            </w:pPr>
            <w:r>
              <w:t xml:space="preserve">$163M</w:t>
            </w:r>
          </w:p>
        </w:tc>
        <w:tc>
          <w:tcPr/>
          <w:p>
            <w:pPr>
              <w:pStyle w:val="Compact"/>
            </w:pPr>
            <w:r>
              <w:t xml:space="preserve">Continued conversion-driven growth expected</w:t>
            </w:r>
          </w:p>
        </w:tc>
      </w:tr>
    </w:tbl>
    <w:p>
      <w:pPr>
        <w:pStyle w:val="BodyText"/>
      </w:pPr>
      <w:r>
        <w:t xml:space="preserve">The cited consensus figures would represent approximately 16% year-over-year growth for Reblozyl, 30% for Breyanzi and 17% for Opdualag. (</w:t>
      </w:r>
      <w:hyperlink r:id="rId9">
        <w:r>
          <w:rPr>
            <w:rStyle w:val="Hyperlink"/>
          </w:rPr>
          <w:t xml:space="preserve">tradingview.com</w:t>
        </w:r>
      </w:hyperlink>
      <w:r>
        <w:t xml:space="preserve">)</w:t>
      </w:r>
    </w:p>
    <w:bookmarkStart w:id="17" w:name="camzyos"/>
    <w:p>
      <w:pPr>
        <w:pStyle w:val="Heading4"/>
      </w:pPr>
      <w:r>
        <w:t xml:space="preserve">Camzyos</w:t>
      </w:r>
    </w:p>
    <w:p>
      <w:pPr>
        <w:pStyle w:val="FirstParagraph"/>
      </w:pPr>
      <w:r>
        <w:t xml:space="preserve">Camzyos nearly doubled year over year in Q1. The main questions are whether new-patient starts and persistence remained strong after the entrance of a competing cardiac myosin inhibitor, and whether BMY still expects to retain market leadership. The FDA is also reviewing the adolescent obstructive-HCM indication, with a</w:t>
      </w:r>
      <w:r>
        <w:t xml:space="preserve"> </w:t>
      </w:r>
      <w:r>
        <w:rPr>
          <w:b/>
          <w:bCs/>
        </w:rPr>
        <w:t xml:space="preserve">September 30, 2026</w:t>
      </w:r>
      <w:r>
        <w:t xml:space="preserve"> </w:t>
      </w:r>
      <w:r>
        <w:t xml:space="preserve">target action date. (</w:t>
      </w:r>
      <w:hyperlink r:id="rId16">
        <w:r>
          <w:rPr>
            <w:rStyle w:val="Hyperlink"/>
          </w:rPr>
          <w:t xml:space="preserve">news.bms.com</w:t>
        </w:r>
      </w:hyperlink>
      <w:r>
        <w:t xml:space="preserve">)</w:t>
      </w:r>
    </w:p>
    <w:bookmarkEnd w:id="17"/>
    <w:bookmarkStart w:id="18" w:name="cobenfy"/>
    <w:p>
      <w:pPr>
        <w:pStyle w:val="Heading4"/>
      </w:pPr>
      <w:r>
        <w:t xml:space="preserve">Cobenfy</w:t>
      </w:r>
    </w:p>
    <w:p>
      <w:pPr>
        <w:pStyle w:val="FirstParagraph"/>
      </w:pPr>
      <w:r>
        <w:t xml:space="preserve">Cobenfy remains commercially small relative to BMY’s revenue base, but it carries outsized strategic importance because of the price paid for Karuna and the potential expansion beyond schizophrenia. Investors should focus on:</w:t>
      </w:r>
    </w:p>
    <w:p>
      <w:pPr>
        <w:pStyle w:val="Compact"/>
        <w:numPr>
          <w:ilvl w:val="0"/>
          <w:numId w:val="1004"/>
        </w:numPr>
      </w:pPr>
      <w:r>
        <w:t xml:space="preserve">Sequential prescription and revenue acceleration</w:t>
      </w:r>
    </w:p>
    <w:p>
      <w:pPr>
        <w:pStyle w:val="Compact"/>
        <w:numPr>
          <w:ilvl w:val="0"/>
          <w:numId w:val="1004"/>
        </w:numPr>
      </w:pPr>
      <w:r>
        <w:t xml:space="preserve">Patient persistence</w:t>
      </w:r>
    </w:p>
    <w:p>
      <w:pPr>
        <w:pStyle w:val="Compact"/>
        <w:numPr>
          <w:ilvl w:val="0"/>
          <w:numId w:val="1004"/>
        </w:numPr>
      </w:pPr>
      <w:r>
        <w:t xml:space="preserve">Reimbursement and prior-authorization friction</w:t>
      </w:r>
    </w:p>
    <w:p>
      <w:pPr>
        <w:pStyle w:val="Compact"/>
        <w:numPr>
          <w:ilvl w:val="0"/>
          <w:numId w:val="1004"/>
        </w:numPr>
      </w:pPr>
      <w:r>
        <w:t xml:space="preserve">Switching trends from atypical antipsychotics</w:t>
      </w:r>
    </w:p>
    <w:p>
      <w:pPr>
        <w:pStyle w:val="Compact"/>
        <w:numPr>
          <w:ilvl w:val="0"/>
          <w:numId w:val="1004"/>
        </w:numPr>
      </w:pPr>
      <w:r>
        <w:t xml:space="preserve">Commercial preparation for potential Alzheimer’s-disease psychosis indications</w:t>
      </w:r>
    </w:p>
    <w:p>
      <w:pPr>
        <w:pStyle w:val="FirstParagraph"/>
      </w:pPr>
      <w:r>
        <w:t xml:space="preserve">A merely steady result may be viewed as insufficient given expectations embedded in the asset.</w:t>
      </w:r>
    </w:p>
    <w:bookmarkEnd w:id="18"/>
    <w:bookmarkStart w:id="19" w:name="breyanzi"/>
    <w:p>
      <w:pPr>
        <w:pStyle w:val="Heading4"/>
      </w:pPr>
      <w:r>
        <w:t xml:space="preserve">Breyanzi</w:t>
      </w:r>
    </w:p>
    <w:p>
      <w:pPr>
        <w:pStyle w:val="FirstParagraph"/>
      </w:pPr>
      <w:r>
        <w:t xml:space="preserve">Breyanzi grew 53% excluding currency in Q1. Another strong quarter would support the view that BMY has built a commercially meaningful cell-therapy franchise rather than a niche asset with manufacturing and treatment-center constraints. (</w:t>
      </w:r>
      <w:hyperlink r:id="rId13">
        <w:r>
          <w:rPr>
            <w:rStyle w:val="Hyperlink"/>
          </w:rPr>
          <w:t xml:space="preserve">bms.com</w:t>
        </w:r>
      </w:hyperlink>
      <w:r>
        <w:t xml:space="preserve">)</w:t>
      </w:r>
    </w:p>
    <w:p>
      <w:r>
        <w:pict>
          <v:rect style="width:0;height:1.5pt" o:hralign="center" o:hrstd="t" o:hr="t"/>
        </w:pict>
      </w:r>
    </w:p>
    <w:bookmarkEnd w:id="19"/>
    <w:bookmarkEnd w:id="20"/>
    <w:bookmarkEnd w:id="21"/>
    <w:bookmarkStart w:id="23" w:name="Xbeb2c5c2a21f8d803c17d367bcab9c313ea60e8"/>
    <w:p>
      <w:pPr>
        <w:pStyle w:val="Heading2"/>
      </w:pPr>
      <w:r>
        <w:t xml:space="preserve">Legacy erosion remains the central financial problem</w:t>
      </w:r>
    </w:p>
    <w:p>
      <w:pPr>
        <w:pStyle w:val="FirstParagraph"/>
      </w:pPr>
      <w:r>
        <w:t xml:space="preserve">The growth portfolio is working, but the offset is demanding. In Q1, the legacy portfolio still represented about 46% of company revenue, with sharp declines in Revlimid, Pomalyst, Sprycel and Abraxane. (</w:t>
      </w:r>
      <w:hyperlink r:id="rId9">
        <w:r>
          <w:rPr>
            <w:rStyle w:val="Hyperlink"/>
          </w:rPr>
          <w:t xml:space="preserve">tradingview.com</w:t>
        </w:r>
      </w:hyperlink>
      <w:r>
        <w:t xml:space="preserve">)</w:t>
      </w:r>
    </w:p>
    <w:p>
      <w:pPr>
        <w:pStyle w:val="BodyText"/>
      </w:pPr>
      <w:r>
        <w:t xml:space="preserve">The toughest Q2 comparisons include:</w:t>
      </w:r>
    </w:p>
    <w:p>
      <w:pPr>
        <w:pStyle w:val="Compact"/>
        <w:numPr>
          <w:ilvl w:val="0"/>
          <w:numId w:val="1005"/>
        </w:numPr>
      </w:pPr>
      <w:r>
        <w:rPr>
          <w:b/>
          <w:bCs/>
        </w:rPr>
        <w:t xml:space="preserve">Revlimid:</w:t>
      </w:r>
      <w:r>
        <w:t xml:space="preserve"> </w:t>
      </w:r>
      <w:r>
        <w:t xml:space="preserve">$838 million in Q2 2025 versus $349 million in Q1 2026</w:t>
      </w:r>
    </w:p>
    <w:p>
      <w:pPr>
        <w:pStyle w:val="Compact"/>
        <w:numPr>
          <w:ilvl w:val="0"/>
          <w:numId w:val="1005"/>
        </w:numPr>
      </w:pPr>
      <w:r>
        <w:rPr>
          <w:b/>
          <w:bCs/>
        </w:rPr>
        <w:t xml:space="preserve">Pomalyst/Imnovid:</w:t>
      </w:r>
      <w:r>
        <w:t xml:space="preserve"> </w:t>
      </w:r>
      <w:r>
        <w:t xml:space="preserve">$708 million in Q2 2025; Q2 2026 consensus is only about $210 million</w:t>
      </w:r>
    </w:p>
    <w:p>
      <w:pPr>
        <w:pStyle w:val="Compact"/>
        <w:numPr>
          <w:ilvl w:val="0"/>
          <w:numId w:val="1005"/>
        </w:numPr>
      </w:pPr>
      <w:r>
        <w:rPr>
          <w:b/>
          <w:bCs/>
        </w:rPr>
        <w:t xml:space="preserve">Sprycel:</w:t>
      </w:r>
      <w:r>
        <w:t xml:space="preserve"> </w:t>
      </w:r>
      <w:r>
        <w:t xml:space="preserve">$120 million in Q2 2025, with continued generic pressure expected (</w:t>
      </w:r>
      <w:hyperlink r:id="rId22">
        <w:r>
          <w:rPr>
            <w:rStyle w:val="Hyperlink"/>
          </w:rPr>
          <w:t xml:space="preserve">bms.com</w:t>
        </w:r>
      </w:hyperlink>
      <w:r>
        <w:t xml:space="preserve">)</w:t>
      </w:r>
    </w:p>
    <w:p>
      <w:pPr>
        <w:pStyle w:val="FirstParagraph"/>
      </w:pPr>
      <w:r>
        <w:t xml:space="preserve">The key question is not whether these products decline—they will—but whether management’s forecasts are conservative enough that erosion can be absorbed without reducing revenue or EPS guidance.</w:t>
      </w:r>
    </w:p>
    <w:p>
      <w:r>
        <w:pict>
          <v:rect style="width:0;height:1.5pt" o:hralign="center" o:hrstd="t" o:hr="t"/>
        </w:pict>
      </w:r>
    </w:p>
    <w:bookmarkEnd w:id="23"/>
    <w:bookmarkStart w:id="24" w:name="X02338b8234b7336ba47d0f1142ff83dd416eed4"/>
    <w:p>
      <w:pPr>
        <w:pStyle w:val="Heading2"/>
      </w:pPr>
      <w:r>
        <w:t xml:space="preserve">Guidance: upper-end language may no longer be enough</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guidance</w:t>
            </w:r>
          </w:p>
        </w:tc>
      </w:tr>
      <w:tr>
        <w:tc>
          <w:tcPr/>
          <w:p>
            <w:pPr>
              <w:pStyle w:val="Compact"/>
            </w:pPr>
            <w:r>
              <w:t xml:space="preserve">Revenue</w:t>
            </w:r>
          </w:p>
        </w:tc>
        <w:tc>
          <w:tcPr/>
          <w:p>
            <w:pPr>
              <w:pStyle w:val="Compact"/>
              <w:jc w:val="right"/>
            </w:pPr>
            <m:oMath>
              <m:r>
                <m:t>46.0</m:t>
              </m:r>
              <m:r>
                <m:t>B</m:t>
              </m:r>
              <m:r>
                <m:rPr>
                  <m:sty m:val="p"/>
                </m:rPr>
                <m:t>–</m:t>
              </m:r>
            </m:oMath>
            <w:r>
              <w:rPr>
                <w:b/>
                <w:bCs/>
              </w:rPr>
              <w:t xml:space="preserve">47.5B</w:t>
            </w:r>
          </w:p>
        </w:tc>
      </w:tr>
      <w:tr>
        <w:tc>
          <w:tcPr/>
          <w:p>
            <w:pPr>
              <w:pStyle w:val="Compact"/>
            </w:pPr>
            <w:r>
              <w:t xml:space="preserve">Adjusted EPS</w:t>
            </w:r>
          </w:p>
        </w:tc>
        <w:tc>
          <w:tcPr/>
          <w:p>
            <w:pPr>
              <w:pStyle w:val="Compact"/>
              <w:jc w:val="right"/>
            </w:pPr>
            <m:oMath>
              <m:r>
                <m:t>6.05</m:t>
              </m:r>
              <m:r>
                <m:rPr>
                  <m:sty m:val="p"/>
                </m:rPr>
                <m:t>–</m:t>
              </m:r>
            </m:oMath>
            <w:r>
              <w:rPr>
                <w:b/>
                <w:bCs/>
              </w:rPr>
              <w:t xml:space="preserve">6.35</w:t>
            </w:r>
          </w:p>
        </w:tc>
      </w:tr>
      <w:tr>
        <w:tc>
          <w:tcPr/>
          <w:p>
            <w:pPr>
              <w:pStyle w:val="Compact"/>
            </w:pPr>
            <w:r>
              <w:t xml:space="preserve">Adjusted gross margin</w:t>
            </w:r>
          </w:p>
        </w:tc>
        <w:tc>
          <w:tcPr/>
          <w:p>
            <w:pPr>
              <w:pStyle w:val="Compact"/>
              <w:jc w:val="right"/>
            </w:pPr>
            <w:r>
              <w:rPr>
                <w:b/>
                <w:bCs/>
              </w:rPr>
              <w:t xml:space="preserve">69%–70%</w:t>
            </w:r>
          </w:p>
        </w:tc>
      </w:tr>
      <w:tr>
        <w:tc>
          <w:tcPr/>
          <w:p>
            <w:pPr>
              <w:pStyle w:val="Compact"/>
            </w:pPr>
            <w:r>
              <w:t xml:space="preserve">Operating expenses</w:t>
            </w:r>
          </w:p>
        </w:tc>
        <w:tc>
          <w:tcPr/>
          <w:p>
            <w:pPr>
              <w:pStyle w:val="Compact"/>
              <w:jc w:val="right"/>
            </w:pPr>
            <w:r>
              <w:t xml:space="preserve">Approximately</w:t>
            </w:r>
            <w:r>
              <w:t xml:space="preserve"> </w:t>
            </w:r>
            <w:r>
              <w:rPr>
                <w:b/>
                <w:bCs/>
              </w:rPr>
              <w:t xml:space="preserve">$16.3B</w:t>
            </w:r>
          </w:p>
        </w:tc>
      </w:tr>
      <w:tr>
        <w:tc>
          <w:tcPr/>
          <w:p>
            <w:pPr>
              <w:pStyle w:val="Compact"/>
            </w:pPr>
            <w:r>
              <w:t xml:space="preserve">Effective tax rate</w:t>
            </w:r>
          </w:p>
        </w:tc>
        <w:tc>
          <w:tcPr/>
          <w:p>
            <w:pPr>
              <w:pStyle w:val="Compact"/>
              <w:jc w:val="right"/>
            </w:pPr>
            <w:r>
              <w:t xml:space="preserve">Approximately</w:t>
            </w:r>
            <w:r>
              <w:t xml:space="preserve"> </w:t>
            </w:r>
            <w:r>
              <w:rPr>
                <w:b/>
                <w:bCs/>
              </w:rPr>
              <w:t xml:space="preserve">18%</w:t>
            </w:r>
          </w:p>
        </w:tc>
      </w:tr>
      <w:tr>
        <w:tc>
          <w:tcPr/>
          <w:p>
            <w:pPr>
              <w:pStyle w:val="Compact"/>
            </w:pPr>
            <w:r>
              <w:t xml:space="preserve">Eliquis growth</w:t>
            </w:r>
          </w:p>
        </w:tc>
        <w:tc>
          <w:tcPr/>
          <w:p>
            <w:pPr>
              <w:pStyle w:val="Compact"/>
              <w:jc w:val="right"/>
            </w:pPr>
            <w:r>
              <w:rPr>
                <w:b/>
                <w:bCs/>
              </w:rPr>
              <w:t xml:space="preserve">10%–15%</w:t>
            </w:r>
          </w:p>
        </w:tc>
      </w:tr>
    </w:tbl>
    <w:p>
      <w:pPr>
        <w:pStyle w:val="BodyText"/>
      </w:pPr>
      <w:r>
        <w:t xml:space="preserve">Following Q1, management said both revenue and EPS were trending toward the upper end. (</w:t>
      </w:r>
      <w:hyperlink r:id="rId13">
        <w:r>
          <w:rPr>
            <w:rStyle w:val="Hyperlink"/>
          </w:rPr>
          <w:t xml:space="preserve">bms.com</w:t>
        </w:r>
      </w:hyperlink>
      <w:r>
        <w:t xml:space="preserve">)</w:t>
      </w:r>
    </w:p>
    <w:p>
      <w:pPr>
        <w:pStyle w:val="BodyText"/>
      </w:pPr>
      <w:r>
        <w:t xml:space="preserve">Street EPS expectations have subsequently reached approximately</w:t>
      </w:r>
      <w:r>
        <w:t xml:space="preserve"> </w:t>
      </w:r>
      <w:r>
        <w:rPr>
          <w:b/>
          <w:bCs/>
        </w:rPr>
        <w:t xml:space="preserve">$6.34</w:t>
      </w:r>
      <w:r>
        <w:t xml:space="preserve">, essentially the top of the range. That creates an asymmetric guidance setup:</w:t>
      </w:r>
    </w:p>
    <w:p>
      <w:pPr>
        <w:pStyle w:val="Compact"/>
        <w:numPr>
          <w:ilvl w:val="0"/>
          <w:numId w:val="1006"/>
        </w:numPr>
      </w:pPr>
      <w:r>
        <w:rPr>
          <w:b/>
          <w:bCs/>
        </w:rPr>
        <w:t xml:space="preserve">Raised guidance:</w:t>
      </w:r>
      <w:r>
        <w:t xml:space="preserve"> </w:t>
      </w:r>
      <w:r>
        <w:t xml:space="preserve">Clearly positive, particularly if driven by product demand rather than lower spending</w:t>
      </w:r>
    </w:p>
    <w:p>
      <w:pPr>
        <w:pStyle w:val="Compact"/>
        <w:numPr>
          <w:ilvl w:val="0"/>
          <w:numId w:val="1006"/>
        </w:numPr>
      </w:pPr>
      <w:r>
        <w:rPr>
          <w:b/>
          <w:bCs/>
        </w:rPr>
        <w:t xml:space="preserve">Reaffirmed with explicit upper-end expectations:</w:t>
      </w:r>
      <w:r>
        <w:t xml:space="preserve"> </w:t>
      </w:r>
      <w:r>
        <w:t xml:space="preserve">Acceptable, but potentially not enough for a major positive reaction</w:t>
      </w:r>
    </w:p>
    <w:p>
      <w:pPr>
        <w:pStyle w:val="Compact"/>
        <w:numPr>
          <w:ilvl w:val="0"/>
          <w:numId w:val="1006"/>
        </w:numPr>
      </w:pPr>
      <w:r>
        <w:rPr>
          <w:b/>
          <w:bCs/>
        </w:rPr>
        <w:t xml:space="preserve">Simple reaffirmation without upper-end language:</w:t>
      </w:r>
      <w:r>
        <w:t xml:space="preserve"> </w:t>
      </w:r>
      <w:r>
        <w:t xml:space="preserve">Likely disappointing</w:t>
      </w:r>
    </w:p>
    <w:p>
      <w:pPr>
        <w:pStyle w:val="Compact"/>
        <w:numPr>
          <w:ilvl w:val="0"/>
          <w:numId w:val="1006"/>
        </w:numPr>
      </w:pPr>
      <w:r>
        <w:rPr>
          <w:b/>
          <w:bCs/>
        </w:rPr>
        <w:t xml:space="preserve">Any reduction:</w:t>
      </w:r>
      <w:r>
        <w:t xml:space="preserve"> </w:t>
      </w:r>
      <w:r>
        <w:t xml:space="preserve">Materially negative given the Q1 performance and recent estimate increases (</w:t>
      </w:r>
      <w:hyperlink r:id="rId9">
        <w:r>
          <w:rPr>
            <w:rStyle w:val="Hyperlink"/>
          </w:rPr>
          <w:t xml:space="preserve">tradingview.com</w:t>
        </w:r>
      </w:hyperlink>
      <w:r>
        <w:t xml:space="preserve">)</w:t>
      </w:r>
    </w:p>
    <w:p>
      <w:pPr>
        <w:pStyle w:val="FirstParagraph"/>
      </w:pPr>
      <w:r>
        <w:t xml:space="preserve">Gross margin also deserves attention. Q1 adjusted gross margin fell to 70.3%, and full-year guidance is only 69%–70%, reflecting the unfavorable mix shift away from high-margin legacy medicines. A beat driven predominantly by lower R&amp;D or commercial spending would be lower quality than one driven by better revenue and gross profit.</w:t>
      </w:r>
    </w:p>
    <w:p>
      <w:r>
        <w:pict>
          <v:rect style="width:0;height:1.5pt" o:hralign="center" o:hrstd="t" o:hr="t"/>
        </w:pict>
      </w:r>
    </w:p>
    <w:bookmarkEnd w:id="24"/>
    <w:bookmarkStart w:id="30" w:name="X27976cface009e0137bf95aa2005ca760499be9"/>
    <w:p>
      <w:pPr>
        <w:pStyle w:val="Heading2"/>
      </w:pPr>
      <w:r>
        <w:t xml:space="preserve">Pipeline commentary may matter as much as Q2 earnings</w:t>
      </w:r>
    </w:p>
    <w:p>
      <w:pPr>
        <w:pStyle w:val="FirstParagraph"/>
      </w:pPr>
      <w:r>
        <w:t xml:space="preserve">BMY’s long-term valuation depends on replacing Eliquis and the remaining legacy portfolio. The second-half catalyst schedule is consequently critical.</w:t>
      </w:r>
    </w:p>
    <w:bookmarkStart w:id="26" w:name="near-term-regulatory-events"/>
    <w:p>
      <w:pPr>
        <w:pStyle w:val="Heading3"/>
      </w:pPr>
      <w:r>
        <w:t xml:space="preserve">Near-term regulatory events</w:t>
      </w:r>
    </w:p>
    <w:p>
      <w:pPr>
        <w:pStyle w:val="Compact"/>
        <w:numPr>
          <w:ilvl w:val="0"/>
          <w:numId w:val="1007"/>
        </w:numPr>
      </w:pPr>
      <w:r>
        <w:rPr>
          <w:b/>
          <w:bCs/>
        </w:rPr>
        <w:t xml:space="preserve">Iberdomide:</w:t>
      </w:r>
      <w:r>
        <w:t xml:space="preserve"> </w:t>
      </w:r>
      <w:r>
        <w:t xml:space="preserve">FDA target action date of</w:t>
      </w:r>
      <w:r>
        <w:t xml:space="preserve"> </w:t>
      </w:r>
      <w:r>
        <w:rPr>
          <w:b/>
          <w:bCs/>
        </w:rPr>
        <w:t xml:space="preserve">August 17, 2026</w:t>
      </w:r>
    </w:p>
    <w:p>
      <w:pPr>
        <w:pStyle w:val="Compact"/>
        <w:numPr>
          <w:ilvl w:val="0"/>
          <w:numId w:val="1007"/>
        </w:numPr>
      </w:pPr>
      <w:r>
        <w:rPr>
          <w:b/>
          <w:bCs/>
        </w:rPr>
        <w:t xml:space="preserve">Camzyos adolescent oHCM:</w:t>
      </w:r>
      <w:r>
        <w:t xml:space="preserve"> </w:t>
      </w:r>
      <w:r>
        <w:t xml:space="preserve">FDA target action date of</w:t>
      </w:r>
      <w:r>
        <w:t xml:space="preserve"> </w:t>
      </w:r>
      <w:r>
        <w:rPr>
          <w:b/>
          <w:bCs/>
        </w:rPr>
        <w:t xml:space="preserve">September 30, 2026</w:t>
      </w:r>
    </w:p>
    <w:p>
      <w:pPr>
        <w:pStyle w:val="Compact"/>
        <w:numPr>
          <w:ilvl w:val="0"/>
          <w:numId w:val="1007"/>
        </w:numPr>
      </w:pPr>
      <w:r>
        <w:rPr>
          <w:b/>
          <w:bCs/>
        </w:rPr>
        <w:t xml:space="preserve">Mezigdomide:</w:t>
      </w:r>
      <w:r>
        <w:t xml:space="preserve"> </w:t>
      </w:r>
      <w:r>
        <w:t xml:space="preserve">FDA accepted the NDA in July, with a target action date of</w:t>
      </w:r>
      <w:r>
        <w:t xml:space="preserve"> </w:t>
      </w:r>
      <w:r>
        <w:rPr>
          <w:b/>
          <w:bCs/>
        </w:rPr>
        <w:t xml:space="preserve">May 13, 2027</w:t>
      </w:r>
      <w:r>
        <w:t xml:space="preserve"> </w:t>
      </w:r>
      <w:r>
        <w:t xml:space="preserve">(</w:t>
      </w:r>
      <w:hyperlink r:id="rId13">
        <w:r>
          <w:rPr>
            <w:rStyle w:val="Hyperlink"/>
          </w:rPr>
          <w:t xml:space="preserve">bms.com</w:t>
        </w:r>
      </w:hyperlink>
      <w:r>
        <w:t xml:space="preserve">)</w:t>
      </w:r>
    </w:p>
    <w:p>
      <w:pPr>
        <w:pStyle w:val="FirstParagraph"/>
      </w:pPr>
      <w:r>
        <w:t xml:space="preserve">The first CELMoD approval would be an important validation of BMY’s targeted-protein-degradation platform. Mezigdomide’s SUCCESSOR-2 study produced median progression-free survival of 18 months versus 8.3 months for the control arm, corresponding to a 52% reduction in progression or death risk. (</w:t>
      </w:r>
      <w:hyperlink r:id="rId25">
        <w:r>
          <w:rPr>
            <w:rStyle w:val="Hyperlink"/>
          </w:rPr>
          <w:t xml:space="preserve">news.bms.com</w:t>
        </w:r>
      </w:hyperlink>
      <w:r>
        <w:t xml:space="preserve">)</w:t>
      </w:r>
    </w:p>
    <w:bookmarkEnd w:id="26"/>
    <w:bookmarkStart w:id="27" w:name="pivotal-late-2026-readouts"/>
    <w:p>
      <w:pPr>
        <w:pStyle w:val="Heading3"/>
      </w:pPr>
      <w:r>
        <w:t xml:space="preserve">Pivotal late-2026 readouts</w:t>
      </w:r>
    </w:p>
    <w:p>
      <w:pPr>
        <w:pStyle w:val="FirstParagraph"/>
      </w:pPr>
      <w:r>
        <w:t xml:space="preserve">Investors should listen for any timing changes involving:</w:t>
      </w:r>
    </w:p>
    <w:p>
      <w:pPr>
        <w:pStyle w:val="Compact"/>
        <w:numPr>
          <w:ilvl w:val="0"/>
          <w:numId w:val="1008"/>
        </w:numPr>
      </w:pPr>
      <w:r>
        <w:rPr>
          <w:b/>
          <w:bCs/>
        </w:rPr>
        <w:t xml:space="preserve">Milvexian</w:t>
      </w:r>
      <w:r>
        <w:t xml:space="preserve"> </w:t>
      </w:r>
      <w:r>
        <w:t xml:space="preserve">in atrial fibrillation and secondary stroke prevention</w:t>
      </w:r>
    </w:p>
    <w:p>
      <w:pPr>
        <w:pStyle w:val="Compact"/>
        <w:numPr>
          <w:ilvl w:val="0"/>
          <w:numId w:val="1008"/>
        </w:numPr>
      </w:pPr>
      <w:r>
        <w:rPr>
          <w:b/>
          <w:bCs/>
        </w:rPr>
        <w:t xml:space="preserve">Cobenfy</w:t>
      </w:r>
      <w:r>
        <w:t xml:space="preserve"> </w:t>
      </w:r>
      <w:r>
        <w:t xml:space="preserve">in Alzheimer’s-disease psychosis</w:t>
      </w:r>
    </w:p>
    <w:p>
      <w:pPr>
        <w:pStyle w:val="Compact"/>
        <w:numPr>
          <w:ilvl w:val="0"/>
          <w:numId w:val="1008"/>
        </w:numPr>
      </w:pPr>
      <w:r>
        <w:rPr>
          <w:b/>
          <w:bCs/>
        </w:rPr>
        <w:t xml:space="preserve">Admilparant</w:t>
      </w:r>
      <w:r>
        <w:t xml:space="preserve"> </w:t>
      </w:r>
      <w:r>
        <w:t xml:space="preserve">in idiopathic pulmonary fibrosis</w:t>
      </w:r>
    </w:p>
    <w:p>
      <w:pPr>
        <w:pStyle w:val="Compact"/>
        <w:numPr>
          <w:ilvl w:val="0"/>
          <w:numId w:val="1008"/>
        </w:numPr>
      </w:pPr>
      <w:r>
        <w:rPr>
          <w:b/>
          <w:bCs/>
        </w:rPr>
        <w:t xml:space="preserve">Iberdomide</w:t>
      </w:r>
      <w:r>
        <w:t xml:space="preserve"> </w:t>
      </w:r>
      <w:r>
        <w:t xml:space="preserve">progression-free-survival data</w:t>
      </w:r>
    </w:p>
    <w:p>
      <w:pPr>
        <w:pStyle w:val="Compact"/>
        <w:numPr>
          <w:ilvl w:val="0"/>
          <w:numId w:val="1008"/>
        </w:numPr>
      </w:pPr>
      <w:r>
        <w:t xml:space="preserve">Additional CELMoD and cell-therapy milestones</w:t>
      </w:r>
    </w:p>
    <w:p>
      <w:pPr>
        <w:pStyle w:val="FirstParagraph"/>
      </w:pPr>
      <w:r>
        <w:t xml:space="preserve">These readouts are more important to BMY’s long-term earnings power than a few cents of Q2 EPS. A reaffirmed catalyst calendar is therefore essential.</w:t>
      </w:r>
    </w:p>
    <w:bookmarkEnd w:id="27"/>
    <w:bookmarkStart w:id="29" w:name="pumitamig"/>
    <w:p>
      <w:pPr>
        <w:pStyle w:val="Heading3"/>
      </w:pPr>
      <w:r>
        <w:t xml:space="preserve">Pumitamig</w:t>
      </w:r>
    </w:p>
    <w:p>
      <w:pPr>
        <w:pStyle w:val="FirstParagraph"/>
      </w:pPr>
      <w:r>
        <w:t xml:space="preserve">Recent global Phase 2 data in first-line non-small-cell lung cancer showed encouraging response rates across histologies and PD-L1 levels, and BMY/BioNTech now have seven global Phase 3 trials with registrational potential underway. However, the data remain interim and response-rate driven; investors will ultimately need durable progression-free and overall-survival evidence to justify expectations for a new immuno-oncology backbone. (</w:t>
      </w:r>
      <w:hyperlink r:id="rId28">
        <w:r>
          <w:rPr>
            <w:rStyle w:val="Hyperlink"/>
          </w:rPr>
          <w:t xml:space="preserve">bristolmyers2016ir.q4web.com</w:t>
        </w:r>
      </w:hyperlink>
      <w:r>
        <w:t xml:space="preserve">)</w:t>
      </w:r>
    </w:p>
    <w:p>
      <w:r>
        <w:pict>
          <v:rect style="width:0;height:1.5pt" o:hralign="center" o:hrstd="t" o:hr="t"/>
        </w:pict>
      </w:r>
    </w:p>
    <w:bookmarkEnd w:id="29"/>
    <w:bookmarkEnd w:id="30"/>
    <w:bookmarkStart w:id="32" w:name="questions-investors-should-want-answered"/>
    <w:p>
      <w:pPr>
        <w:pStyle w:val="Heading2"/>
      </w:pPr>
      <w:r>
        <w:t xml:space="preserve">Questions investors should want answered</w:t>
      </w:r>
    </w:p>
    <w:p>
      <w:pPr>
        <w:pStyle w:val="Compact"/>
        <w:numPr>
          <w:ilvl w:val="0"/>
          <w:numId w:val="1009"/>
        </w:numPr>
      </w:pPr>
      <w:r>
        <w:rPr>
          <w:b/>
          <w:bCs/>
        </w:rPr>
        <w:t xml:space="preserve">How much of the expected Q2 Eliquis sequential decline is inventory rather than demand?</w:t>
      </w:r>
    </w:p>
    <w:p>
      <w:pPr>
        <w:pStyle w:val="Compact"/>
        <w:numPr>
          <w:ilvl w:val="0"/>
          <w:numId w:val="1009"/>
        </w:numPr>
      </w:pPr>
      <w:r>
        <w:rPr>
          <w:b/>
          <w:bCs/>
        </w:rPr>
        <w:t xml:space="preserve">Did Opdivo inventories normalize, and what percentage of IV patients have now converted to Qvantig?</w:t>
      </w:r>
    </w:p>
    <w:p>
      <w:pPr>
        <w:pStyle w:val="Compact"/>
        <w:numPr>
          <w:ilvl w:val="0"/>
          <w:numId w:val="1009"/>
        </w:numPr>
      </w:pPr>
      <w:r>
        <w:rPr>
          <w:b/>
          <w:bCs/>
        </w:rPr>
        <w:t xml:space="preserve">Is Cobenfy adoption accelerating fast enough to support the original commercial thesis?</w:t>
      </w:r>
    </w:p>
    <w:p>
      <w:pPr>
        <w:pStyle w:val="Compact"/>
        <w:numPr>
          <w:ilvl w:val="0"/>
          <w:numId w:val="1009"/>
        </w:numPr>
      </w:pPr>
      <w:r>
        <w:rPr>
          <w:b/>
          <w:bCs/>
        </w:rPr>
        <w:t xml:space="preserve">Has competition affected Camzyos new-patient starts, pricing or persistence?</w:t>
      </w:r>
    </w:p>
    <w:p>
      <w:pPr>
        <w:pStyle w:val="Compact"/>
        <w:numPr>
          <w:ilvl w:val="0"/>
          <w:numId w:val="1009"/>
        </w:numPr>
      </w:pPr>
      <w:r>
        <w:rPr>
          <w:b/>
          <w:bCs/>
        </w:rPr>
        <w:t xml:space="preserve">Can the growth portfolio maintain double-digit underlying growth through 2026?</w:t>
      </w:r>
    </w:p>
    <w:p>
      <w:pPr>
        <w:pStyle w:val="Compact"/>
        <w:numPr>
          <w:ilvl w:val="0"/>
          <w:numId w:val="1009"/>
        </w:numPr>
      </w:pPr>
      <w:r>
        <w:rPr>
          <w:b/>
          <w:bCs/>
        </w:rPr>
        <w:t xml:space="preserve">Is management prepared to raise guidance, given that Street EPS is already at the top of the range?</w:t>
      </w:r>
    </w:p>
    <w:p>
      <w:pPr>
        <w:pStyle w:val="Compact"/>
        <w:numPr>
          <w:ilvl w:val="0"/>
          <w:numId w:val="1009"/>
        </w:numPr>
      </w:pPr>
      <w:r>
        <w:rPr>
          <w:b/>
          <w:bCs/>
        </w:rPr>
        <w:t xml:space="preserve">Are milvexian, Cobenfy, admilparant and iberdomide readouts all still on schedule for late 2026?</w:t>
      </w:r>
    </w:p>
    <w:p>
      <w:pPr>
        <w:pStyle w:val="Compact"/>
        <w:numPr>
          <w:ilvl w:val="0"/>
          <w:numId w:val="1009"/>
        </w:numPr>
      </w:pPr>
      <w:r>
        <w:rPr>
          <w:b/>
          <w:bCs/>
        </w:rPr>
        <w:t xml:space="preserve">How will the 13-program Hengrui collaboration affect future R&amp;D spending and acquired-IPRD charges?</w:t>
      </w:r>
      <w:r>
        <w:t xml:space="preserve"> </w:t>
      </w:r>
      <w:r>
        <w:t xml:space="preserve">The collaboration was announced in May and spans oncology, hematology and immunology. (</w:t>
      </w:r>
      <w:hyperlink r:id="rId31">
        <w:r>
          <w:rPr>
            <w:rStyle w:val="Hyperlink"/>
          </w:rPr>
          <w:t xml:space="preserve">bristolmyers2016ir.q4web.com</w:t>
        </w:r>
      </w:hyperlink>
      <w:r>
        <w:t xml:space="preserve">)</w:t>
      </w:r>
    </w:p>
    <w:p>
      <w:pPr>
        <w:pStyle w:val="Compact"/>
        <w:numPr>
          <w:ilvl w:val="0"/>
          <w:numId w:val="1009"/>
        </w:numPr>
      </w:pPr>
      <w:r>
        <w:rPr>
          <w:b/>
          <w:bCs/>
        </w:rPr>
        <w:t xml:space="preserve">How quickly can BMY reduce net debt while funding the dividend, late-stage pipeline and additional business development?</w:t>
      </w:r>
    </w:p>
    <w:p>
      <w:r>
        <w:pict>
          <v:rect style="width:0;height:1.5pt" o:hralign="center" o:hrstd="t" o:hr="t"/>
        </w:pict>
      </w:r>
    </w:p>
    <w:bookmarkEnd w:id="32"/>
    <w:bookmarkStart w:id="33" w:name="bottom-line"/>
    <w:p>
      <w:pPr>
        <w:pStyle w:val="Heading2"/>
      </w:pPr>
      <w:r>
        <w:t xml:space="preserve">Bottom line</w:t>
      </w:r>
    </w:p>
    <w:p>
      <w:pPr>
        <w:pStyle w:val="FirstParagraph"/>
      </w:pPr>
      <w:r>
        <w:t xml:space="preserve">The most likely Q2 profile is</w:t>
      </w:r>
      <w:r>
        <w:t xml:space="preserve"> </w:t>
      </w:r>
      <w:r>
        <w:rPr>
          <w:b/>
          <w:bCs/>
        </w:rPr>
        <w:t xml:space="preserve">continued growth from Eliquis and the newer portfolio, overwhelmed at the reported revenue level by generic erosion, but producing higher adjusted EPS through cost control and easier below-the-line comparisons</w:t>
      </w:r>
      <w:r>
        <w:t xml:space="preserve">.</w:t>
      </w:r>
    </w:p>
    <w:p>
      <w:pPr>
        <w:pStyle w:val="BodyText"/>
      </w:pPr>
      <w:r>
        <w:t xml:space="preserve">The numerical bar—roughly $11.7 billion to $11.9 billion of revenue and $1.59 to $1.60 of adjusted EPS—is not especially demanding given BMY’s recent history of earnings beats. The qualitative bar is higher.</w:t>
      </w:r>
    </w:p>
    <w:p>
      <w:pPr>
        <w:pStyle w:val="BodyText"/>
      </w:pPr>
      <w:r>
        <w:rPr>
          <w:b/>
          <w:bCs/>
        </w:rPr>
        <w:t xml:space="preserve">A bullish report</w:t>
      </w:r>
      <w:r>
        <w:t xml:space="preserve"> </w:t>
      </w:r>
      <w:r>
        <w:t xml:space="preserve">would combine an EPS and revenue beat with strong combined Opdivo/Qvantig performance, accelerating Cobenfy and Camzyos sales, and raised or clearly upper-end guidance.</w:t>
      </w:r>
    </w:p>
    <w:p>
      <w:pPr>
        <w:pStyle w:val="BodyText"/>
      </w:pPr>
      <w:r>
        <w:rPr>
          <w:b/>
          <w:bCs/>
        </w:rPr>
        <w:t xml:space="preserve">A neutral report</w:t>
      </w:r>
      <w:r>
        <w:t xml:space="preserve"> </w:t>
      </w:r>
      <w:r>
        <w:t xml:space="preserve">would feature a modest EPS beat, mixed product sales and unchanged upper-end guidance.</w:t>
      </w:r>
    </w:p>
    <w:p>
      <w:pPr>
        <w:pStyle w:val="BodyText"/>
      </w:pPr>
      <w:r>
        <w:rPr>
          <w:b/>
          <w:bCs/>
        </w:rPr>
        <w:t xml:space="preserve">A bearish report</w:t>
      </w:r>
      <w:r>
        <w:t xml:space="preserve"> </w:t>
      </w:r>
      <w:r>
        <w:t xml:space="preserve">would show weaker underlying Eliquis demand, a combined Opdivo/Qvantig miss, sluggish Cobenfy adoption, or any delay to the major late-2026 clinical readouts.</w:t>
      </w:r>
    </w:p>
    <w:p>
      <w:pPr>
        <w:pStyle w:val="BodyText"/>
      </w:pPr>
      <w:r>
        <w:t xml:space="preserve">Ultimately, tomorrow’s print should help determine whether BMY is merely managing its patent-expiration decline effectively—or has begun building a credible bridge to renewed growth later in the decade.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1" Target="https://bristolmyers2016ir.q4web.com/iframes/press-releases/press-release-details/2026/Bristol-Myers-Squibb-and-Hengrui-Pharma-Announce-Strategic-Agreements-to-Advance-Innovative-Medicines-Across-Oncology-Hematology-and-Immunology-2026-vNsoGgwkDc/default.aspx" TargetMode="External" /><Relationship Type="http://schemas.openxmlformats.org/officeDocument/2006/relationships/hyperlink" Id="rId28" Target="https://bristolmyers2016ir.q4web.com/iframes/press-releases/press-release-details/2026/Global-Data-for-BioNTech-and-Bristol-Myers-Squibbs-PD-L1xVEGF-A-Bispecific-Pumitamig-Shows-Encouraging-Efficacy-in-Patients-with-Non-Small-Cell-Lung-Cancer-in-ROSETTA-Lung-02-Trial/default.aspx" TargetMode="External" /><Relationship Type="http://schemas.openxmlformats.org/officeDocument/2006/relationships/hyperlink" Id="rId25" Target="https://news.bms.com/news/corporate-financial/2026/Bristol-Myers-Squibb-Announces-CELMoD-Mezigdomide-Reduces-Risk-of-Disease-Progression-or-Death-by-More-than-50-vs--Standard-of-Care-in-Relapsed-or-Refractory-Multiple-Myeloma/default.aspx?utm_source=openai" TargetMode="External" /><Relationship Type="http://schemas.openxmlformats.org/officeDocument/2006/relationships/hyperlink" Id="rId16" Target="https://news.bms.com/news/corporate-financial/2026/U-S--Food-and-Drug-Administration-Accepts-for-Priority-Review-Bristol-Myers-Squibbs-Supplemental-New-Drug-Application-for-Camzyos-mavacamten-to-Treat-Adolescents-with-Symptomatic-Obstructive-Hypertrophic-Cardiomyopathy-oHCM/default.aspx?utm_source=openai" TargetMode="External" /><Relationship Type="http://schemas.openxmlformats.org/officeDocument/2006/relationships/hyperlink" Id="rId22" Target="https://www.bms.com/assets/bms/us/en-us/pdf/investor-info/doc_financials/quarterly_reports/2025/BMY-Q2-2025-Earnings-Press-Release.pdf?utm_source=openai" TargetMode="External" /><Relationship Type="http://schemas.openxmlformats.org/officeDocument/2006/relationships/hyperlink" Id="rId13" Target="https://www.bms.com/assets/bms/us/en-us/pdf/investor-info/doc_financials/quarterly_reports/2026/BMY-Q1-2026-Earnings-Press-Release.pdf?linkId=934857695&amp;utm_source=openai" TargetMode="External" /><Relationship Type="http://schemas.openxmlformats.org/officeDocument/2006/relationships/hyperlink" Id="rId11" Target="https://www.bms.com/assets/bms/us/en-us/pdf/investor-info/doc_financials/quarterly_reports/2026/Preliminary-Q2-2026-acquired-IPRD-and-licensing-income-schedule.pdf" TargetMode="External" /><Relationship Type="http://schemas.openxmlformats.org/officeDocument/2006/relationships/hyperlink" Id="rId9" Target="https://www.tradingview.com/news/zacks%3A6753855fc094b%3A0-should-you-buy-hold-or-sell-bmy-stock-ahead-of-q2-earnings/" TargetMode="External" /></Relationships>
</file>

<file path=word/_rels/footnotes.xml.rels><?xml version="1.0" encoding="UTF-8"?><Relationships xmlns="http://schemas.openxmlformats.org/package/2006/relationships"><Relationship Type="http://schemas.openxmlformats.org/officeDocument/2006/relationships/hyperlink" Id="rId31" Target="https://bristolmyers2016ir.q4web.com/iframes/press-releases/press-release-details/2026/Bristol-Myers-Squibb-and-Hengrui-Pharma-Announce-Strategic-Agreements-to-Advance-Innovative-Medicines-Across-Oncology-Hematology-and-Immunology-2026-vNsoGgwkDc/default.aspx" TargetMode="External" /><Relationship Type="http://schemas.openxmlformats.org/officeDocument/2006/relationships/hyperlink" Id="rId28" Target="https://bristolmyers2016ir.q4web.com/iframes/press-releases/press-release-details/2026/Global-Data-for-BioNTech-and-Bristol-Myers-Squibbs-PD-L1xVEGF-A-Bispecific-Pumitamig-Shows-Encouraging-Efficacy-in-Patients-with-Non-Small-Cell-Lung-Cancer-in-ROSETTA-Lung-02-Trial/default.aspx" TargetMode="External" /><Relationship Type="http://schemas.openxmlformats.org/officeDocument/2006/relationships/hyperlink" Id="rId25" Target="https://news.bms.com/news/corporate-financial/2026/Bristol-Myers-Squibb-Announces-CELMoD-Mezigdomide-Reduces-Risk-of-Disease-Progression-or-Death-by-More-than-50-vs--Standard-of-Care-in-Relapsed-or-Refractory-Multiple-Myeloma/default.aspx?utm_source=openai" TargetMode="External" /><Relationship Type="http://schemas.openxmlformats.org/officeDocument/2006/relationships/hyperlink" Id="rId16" Target="https://news.bms.com/news/corporate-financial/2026/U-S--Food-and-Drug-Administration-Accepts-for-Priority-Review-Bristol-Myers-Squibbs-Supplemental-New-Drug-Application-for-Camzyos-mavacamten-to-Treat-Adolescents-with-Symptomatic-Obstructive-Hypertrophic-Cardiomyopathy-oHCM/default.aspx?utm_source=openai" TargetMode="External" /><Relationship Type="http://schemas.openxmlformats.org/officeDocument/2006/relationships/hyperlink" Id="rId22" Target="https://www.bms.com/assets/bms/us/en-us/pdf/investor-info/doc_financials/quarterly_reports/2025/BMY-Q2-2025-Earnings-Press-Release.pdf?utm_source=openai" TargetMode="External" /><Relationship Type="http://schemas.openxmlformats.org/officeDocument/2006/relationships/hyperlink" Id="rId13" Target="https://www.bms.com/assets/bms/us/en-us/pdf/investor-info/doc_financials/quarterly_reports/2026/BMY-Q1-2026-Earnings-Press-Release.pdf?linkId=934857695&amp;utm_source=openai" TargetMode="External" /><Relationship Type="http://schemas.openxmlformats.org/officeDocument/2006/relationships/hyperlink" Id="rId11" Target="https://www.bms.com/assets/bms/us/en-us/pdf/investor-info/doc_financials/quarterly_reports/2026/Preliminary-Q2-2026-acquired-IPRD-and-licensing-income-schedule.pdf" TargetMode="External" /><Relationship Type="http://schemas.openxmlformats.org/officeDocument/2006/relationships/hyperlink" Id="rId9" Target="https://www.tradingview.com/news/zacks%3A6753855fc094b%3A0-should-you-buy-hold-or-sell-bmy-stock-ahead-of-q2-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2026-07-29T18:02:13Z</dcterms:created>
  <dcterms:modified xsi:type="dcterms:W3CDTF">2026-07-29T18:02:13Z</dcterms:modified>
</cp:coreProperties>
</file>

<file path=docProps/custom.xml><?xml version="1.0" encoding="utf-8"?>
<Properties xmlns="http://schemas.openxmlformats.org/officeDocument/2006/custom-properties" xmlns:vt="http://schemas.openxmlformats.org/officeDocument/2006/docPropsVTypes"/>
</file>