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my-earnings-predictions--2026-07-30"/>
    <w:p>
      <w:pPr>
        <w:pStyle w:val="Heading1"/>
      </w:pPr>
      <w:r>
        <w:t xml:space="preserve">BMY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~$1.67 vs. cons $1.60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~$11.82B vs. cons $11.74B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Eliquis worldwide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~$3.84B vs. cons $3.81B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~$47.2B vs. cons $46.8B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~$6.30 vs. cons $6.20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Eliquis worldwide growth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~12.5% vs. cons 12.5%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gross-margin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~69.5% vs. cons 69.5%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+3.4% (FOLLOW-THROUGH)</w:t>
            </w:r>
          </w:p>
        </w:tc>
        <w:tc>
          <w:tcPr/>
          <w:p>
            <w:pPr>
              <w:pStyle w:val="Compact"/>
            </w:pPr>
            <w:r>
              <w:t xml:space="preserve">A ~$0.07 EPS beat versus</w:t>
            </w:r>
            <w:r>
              <w:t xml:space="preserve"> </w:t>
            </w:r>
            <m:oMath>
              <m:r>
                <m:t>1.60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p</m:t>
              </m:r>
              <m:r>
                <m:t>l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6.30 versus $6.20 should support upward full-year estimates; maintained Eliquis growth of ~12.5% versus 12.5% consensus limits concern that the expected inventory reversal reflects weaker demand.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2026-07-29T18:00:22Z</dcterms:created>
  <dcterms:modified xsi:type="dcterms:W3CDTF">2026-07-29T18:00:22Z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