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bsx-earnings-predictions--2026-07-29"/>
    <w:p>
      <w:pPr>
        <w:pStyle w:val="Heading1"/>
      </w:pPr>
      <w:r>
        <w:t xml:space="preserve">BSX Earnings Predictions — 2026-07-29</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BSX</w:t>
            </w:r>
          </w:p>
        </w:tc>
        <w:tc>
          <w:tcPr/>
          <w:p>
            <w:pPr>
              <w:pStyle w:val="Compact"/>
            </w:pPr>
            <w:r>
              <w:t xml:space="preserve">Report</w:t>
            </w:r>
          </w:p>
        </w:tc>
        <w:tc>
          <w:tcPr/>
          <w:p>
            <w:pPr>
              <w:pStyle w:val="Compact"/>
            </w:pPr>
            <w:r>
              <w:t xml:space="preserve">Organic revenue growth (Q2'26)</w:t>
            </w:r>
          </w:p>
        </w:tc>
        <w:tc>
          <w:tcPr/>
          <w:p>
            <w:pPr>
              <w:pStyle w:val="Compact"/>
            </w:pPr>
            <w:r>
              <w:t xml:space="preserve">BEAT</w:t>
            </w:r>
          </w:p>
        </w:tc>
        <w:tc>
          <w:tcPr/>
          <w:p>
            <w:pPr>
              <w:pStyle w:val="Compact"/>
            </w:pPr>
            <w:r>
              <w:t xml:space="preserve">pred ~7.5% vs. cons 5.3%</w:t>
            </w:r>
          </w:p>
        </w:tc>
        <w:tc>
          <w:tcPr/>
          <w:p>
            <w:pPr>
              <w:pStyle w:val="Compact"/>
            </w:pPr>
            <w:r>
              <w:t xml:space="preserve">MEDIUM</w:t>
            </w:r>
          </w:p>
        </w:tc>
      </w:tr>
      <w:tr>
        <w:tc>
          <w:tcPr/>
          <w:p>
            <w:pPr>
              <w:pStyle w:val="Compact"/>
            </w:pPr>
            <w:r>
              <w:t xml:space="preserve">BSX</w:t>
            </w:r>
          </w:p>
        </w:tc>
        <w:tc>
          <w:tcPr/>
          <w:p>
            <w:pPr>
              <w:pStyle w:val="Compact"/>
            </w:pPr>
            <w:r>
              <w:t xml:space="preserve">Report</w:t>
            </w:r>
          </w:p>
        </w:tc>
        <w:tc>
          <w:tcPr/>
          <w:p>
            <w:pPr>
              <w:pStyle w:val="Compact"/>
            </w:pPr>
            <w:r>
              <w:t xml:space="preserve">Adjusted EPS (Q2'26)</w:t>
            </w:r>
          </w:p>
        </w:tc>
        <w:tc>
          <w:tcPr/>
          <w:p>
            <w:pPr>
              <w:pStyle w:val="Compact"/>
            </w:pPr>
            <w:r>
              <w:t xml:space="preserve">BEAT</w:t>
            </w:r>
          </w:p>
        </w:tc>
        <w:tc>
          <w:tcPr/>
          <w:p>
            <w:pPr>
              <w:pStyle w:val="Compact"/>
            </w:pPr>
            <w:r>
              <w:t xml:space="preserve">pred ~$0.86 vs. cons $0.83</w:t>
            </w:r>
          </w:p>
        </w:tc>
        <w:tc>
          <w:tcPr/>
          <w:p>
            <w:pPr>
              <w:pStyle w:val="Compact"/>
            </w:pPr>
            <w:r>
              <w:t xml:space="preserve">MEDIUM</w:t>
            </w:r>
          </w:p>
        </w:tc>
      </w:tr>
      <w:tr>
        <w:tc>
          <w:tcPr/>
          <w:p>
            <w:pPr>
              <w:pStyle w:val="Compact"/>
            </w:pPr>
            <w:r>
              <w:t xml:space="preserve">BSX</w:t>
            </w:r>
          </w:p>
        </w:tc>
        <w:tc>
          <w:tcPr/>
          <w:p>
            <w:pPr>
              <w:pStyle w:val="Compact"/>
            </w:pPr>
            <w:r>
              <w:t xml:space="preserve">Report</w:t>
            </w:r>
          </w:p>
        </w:tc>
        <w:tc>
          <w:tcPr/>
          <w:p>
            <w:pPr>
              <w:pStyle w:val="Compact"/>
            </w:pPr>
            <w:r>
              <w:t xml:space="preserve">Total reported revenue (Q2'26)</w:t>
            </w:r>
          </w:p>
        </w:tc>
        <w:tc>
          <w:tcPr/>
          <w:p>
            <w:pPr>
              <w:pStyle w:val="Compact"/>
            </w:pPr>
            <w:r>
              <w:t xml:space="preserve">BEAT</w:t>
            </w:r>
          </w:p>
        </w:tc>
        <w:tc>
          <w:tcPr/>
          <w:p>
            <w:pPr>
              <w:pStyle w:val="Compact"/>
            </w:pPr>
            <w:r>
              <w:t xml:space="preserve">pred ~</w:t>
            </w:r>
            <m:oMath>
              <m:r>
                <m:t>5.46</m:t>
              </m:r>
              <m:r>
                <m:t>B</m:t>
              </m:r>
              <m:r>
                <m:t>v</m:t>
              </m:r>
              <m:r>
                <m:t>s</m:t>
              </m:r>
              <m:r>
                <m:rPr>
                  <m:sty m:val="p"/>
                </m:rPr>
                <m:t>.</m:t>
              </m:r>
              <m:r>
                <m:t>c</m:t>
              </m:r>
              <m:r>
                <m:t>o</m:t>
              </m:r>
              <m:r>
                <m:t>n</m:t>
              </m:r>
              <m:r>
                <m:t>s</m:t>
              </m:r>
              <m:r>
                <m:t> </m:t>
              </m:r>
            </m:oMath>
            <w:r>
              <w:t xml:space="preserve">5.40B</w:t>
            </w:r>
          </w:p>
        </w:tc>
        <w:tc>
          <w:tcPr/>
          <w:p>
            <w:pPr>
              <w:pStyle w:val="Compact"/>
            </w:pPr>
            <w:r>
              <w:t xml:space="preserve">MEDIUM</w:t>
            </w:r>
          </w:p>
        </w:tc>
      </w:tr>
      <w:tr>
        <w:tc>
          <w:tcPr/>
          <w:p>
            <w:pPr>
              <w:pStyle w:val="Compact"/>
            </w:pPr>
            <w:r>
              <w:t xml:space="preserve">BSX</w:t>
            </w:r>
          </w:p>
        </w:tc>
        <w:tc>
          <w:tcPr/>
          <w:p>
            <w:pPr>
              <w:pStyle w:val="Compact"/>
            </w:pPr>
            <w:r>
              <w:t xml:space="preserve">Guide</w:t>
            </w:r>
          </w:p>
        </w:tc>
        <w:tc>
          <w:tcPr/>
          <w:p>
            <w:pPr>
              <w:pStyle w:val="Compact"/>
            </w:pPr>
            <w:r>
              <w:t xml:space="preserve">FY26 organic revenue growth guide</w:t>
            </w:r>
          </w:p>
        </w:tc>
        <w:tc>
          <w:tcPr/>
          <w:p>
            <w:pPr>
              <w:pStyle w:val="Compact"/>
            </w:pPr>
            <w:r>
              <w:t xml:space="preserve">UNCHANGED</w:t>
            </w:r>
          </w:p>
        </w:tc>
        <w:tc>
          <w:tcPr/>
          <w:p>
            <w:pPr>
              <w:pStyle w:val="Compact"/>
            </w:pPr>
            <w:r>
              <w:t xml:space="preserve">guide ~6.5-8.0% (reaffirmed) vs. cons ~7.0% (FY26)</w:t>
            </w:r>
          </w:p>
        </w:tc>
        <w:tc>
          <w:tcPr/>
          <w:p>
            <w:pPr>
              <w:pStyle w:val="Compact"/>
            </w:pPr>
            <w:r>
              <w:t xml:space="preserve">MEDIUM</w:t>
            </w:r>
          </w:p>
        </w:tc>
      </w:tr>
      <w:tr>
        <w:tc>
          <w:tcPr/>
          <w:p>
            <w:pPr>
              <w:pStyle w:val="Compact"/>
            </w:pPr>
            <w:r>
              <w:t xml:space="preserve">BSX</w:t>
            </w:r>
          </w:p>
        </w:tc>
        <w:tc>
          <w:tcPr/>
          <w:p>
            <w:pPr>
              <w:pStyle w:val="Compact"/>
            </w:pPr>
            <w:r>
              <w:t xml:space="preserve">Guide</w:t>
            </w:r>
          </w:p>
        </w:tc>
        <w:tc>
          <w:tcPr/>
          <w:p>
            <w:pPr>
              <w:pStyle w:val="Compact"/>
            </w:pPr>
            <w:r>
              <w:t xml:space="preserve">FY26 adjusted EPS guide</w:t>
            </w:r>
          </w:p>
        </w:tc>
        <w:tc>
          <w:tcPr/>
          <w:p>
            <w:pPr>
              <w:pStyle w:val="Compact"/>
            </w:pPr>
            <w:r>
              <w:t xml:space="preserve">BETTER</w:t>
            </w:r>
          </w:p>
        </w:tc>
        <w:tc>
          <w:tcPr/>
          <w:p>
            <w:pPr>
              <w:pStyle w:val="Compact"/>
            </w:pPr>
            <w:r>
              <w:t xml:space="preserve">guide ~</w:t>
            </w:r>
            <m:oMath>
              <m:r>
                <m:t>3.36</m:t>
              </m:r>
              <m:r>
                <m:rPr>
                  <m:sty m:val="p"/>
                </m:rPr>
                <m:t>−</m:t>
              </m:r>
            </m:oMath>
            <w:r>
              <w:t xml:space="preserve">3.43 vs. cons ~$3.38 (FY26)</w:t>
            </w:r>
          </w:p>
        </w:tc>
        <w:tc>
          <w:tcPr/>
          <w:p>
            <w:pPr>
              <w:pStyle w:val="Compact"/>
            </w:pPr>
            <w:r>
              <w:t xml:space="preserve">MEDIUM</w:t>
            </w:r>
          </w:p>
        </w:tc>
      </w:tr>
      <w:tr>
        <w:tc>
          <w:tcPr/>
          <w:p>
            <w:pPr>
              <w:pStyle w:val="Compact"/>
            </w:pPr>
            <w:r>
              <w:t xml:space="preserve">BSX</w:t>
            </w:r>
          </w:p>
        </w:tc>
        <w:tc>
          <w:tcPr/>
          <w:p>
            <w:pPr>
              <w:pStyle w:val="Compact"/>
            </w:pPr>
            <w:r>
              <w:t xml:space="preserve">Guide</w:t>
            </w:r>
          </w:p>
        </w:tc>
        <w:tc>
          <w:tcPr/>
          <w:p>
            <w:pPr>
              <w:pStyle w:val="Compact"/>
            </w:pPr>
            <w:r>
              <w:t xml:space="preserve">Q3'26 organic growth implied</w:t>
            </w:r>
          </w:p>
        </w:tc>
        <w:tc>
          <w:tcPr/>
          <w:p>
            <w:pPr>
              <w:pStyle w:val="Compact"/>
            </w:pPr>
            <w:r>
              <w:t xml:space="preserve">BETTER</w:t>
            </w:r>
          </w:p>
        </w:tc>
        <w:tc>
          <w:tcPr/>
          <w:p>
            <w:pPr>
              <w:pStyle w:val="Compact"/>
            </w:pPr>
            <w:r>
              <w:t xml:space="preserve">guide ~7-8% vs. cons ~6.5% (Q3'26)</w:t>
            </w:r>
          </w:p>
        </w:tc>
        <w:tc>
          <w:tcPr/>
          <w:p>
            <w:pPr>
              <w:pStyle w:val="Compact"/>
            </w:pPr>
            <w:r>
              <w:t xml:space="preserve">LOW</w:t>
            </w:r>
          </w:p>
        </w:tc>
      </w:tr>
      <w:tr>
        <w:tc>
          <w:tcPr/>
          <w:p>
            <w:pPr>
              <w:pStyle w:val="Compact"/>
            </w:pPr>
            <w:r>
              <w:t xml:space="preserve">BSX</w:t>
            </w:r>
          </w:p>
        </w:tc>
        <w:tc>
          <w:tcPr/>
          <w:p>
            <w:pPr>
              <w:pStyle w:val="Compact"/>
            </w:pPr>
            <w:r>
              <w:t xml:space="preserve">Guide</w:t>
            </w:r>
          </w:p>
        </w:tc>
        <w:tc>
          <w:tcPr/>
          <w:p>
            <w:pPr>
              <w:pStyle w:val="Compact"/>
            </w:pPr>
            <w:r>
              <w:t xml:space="preserve">US EP/FARAPULSE + WATCHMAN stabilization commentary</w:t>
            </w:r>
          </w:p>
        </w:tc>
        <w:tc>
          <w:tcPr/>
          <w:p>
            <w:pPr>
              <w:pStyle w:val="Compact"/>
            </w:pPr>
            <w:r>
              <w:t xml:space="preserve">UNKNOWN</w:t>
            </w:r>
          </w:p>
        </w:tc>
        <w:tc>
          <w:tcPr/>
          <w:p>
            <w:pPr>
              <w:pStyle w:val="Compact"/>
            </w:pPr>
            <w:r>
              <w:t xml:space="preserve">pred US EP ~mid-single-digit vs. cons ~flat-to-LSD (Q2'26)</w:t>
            </w:r>
          </w:p>
        </w:tc>
        <w:tc>
          <w:tcPr/>
          <w:p>
            <w:pPr>
              <w:pStyle w:val="Compact"/>
            </w:pPr>
            <w:r>
              <w:t xml:space="preserve">LOW</w:t>
            </w:r>
          </w:p>
        </w:tc>
      </w:tr>
      <w:tr>
        <w:tc>
          <w:tcPr/>
          <w:p>
            <w:pPr>
              <w:pStyle w:val="Compact"/>
            </w:pPr>
            <w:r>
              <w:t xml:space="preserve">BSX</w:t>
            </w:r>
          </w:p>
        </w:tc>
        <w:tc>
          <w:tcPr/>
          <w:p>
            <w:pPr>
              <w:pStyle w:val="Compact"/>
            </w:pPr>
            <w:r>
              <w:t xml:space="preserve">Guide</w:t>
            </w:r>
          </w:p>
        </w:tc>
        <w:tc>
          <w:tcPr/>
          <w:p>
            <w:pPr>
              <w:pStyle w:val="Compact"/>
            </w:pPr>
            <w:r>
              <w:t xml:space="preserve">Buyback executed / restructuring savings flow-through</w:t>
            </w:r>
          </w:p>
        </w:tc>
        <w:tc>
          <w:tcPr/>
          <w:p>
            <w:pPr>
              <w:pStyle w:val="Compact"/>
            </w:pPr>
            <w:r>
              <w:t xml:space="preserve">BETTER</w:t>
            </w:r>
          </w:p>
        </w:tc>
        <w:tc>
          <w:tcPr/>
          <w:p>
            <w:pPr>
              <w:pStyle w:val="Compact"/>
            </w:pPr>
            <w:r>
              <w:t xml:space="preserve">pred ~</w:t>
            </w:r>
            <m:oMath>
              <m:r>
                <m:t>2</m:t>
              </m:r>
              <m:r>
                <m:t>B</m:t>
              </m:r>
              <m:r>
                <m:t>r</m:t>
              </m:r>
              <m:r>
                <m:t>e</m:t>
              </m:r>
              <m:r>
                <m:t>p</m:t>
              </m:r>
              <m:r>
                <m:t>u</m:t>
              </m:r>
              <m:r>
                <m:t>r</m:t>
              </m:r>
              <m:r>
                <m:t>c</m:t>
              </m:r>
              <m:r>
                <m:t>h</m:t>
              </m:r>
              <m:r>
                <m:t>a</m:t>
              </m:r>
              <m:r>
                <m:t>s</m:t>
              </m:r>
              <m:r>
                <m:t>e</m:t>
              </m:r>
              <m:r>
                <m:t>d</m:t>
              </m:r>
              <m:r>
                <m:rPr>
                  <m:sty m:val="p"/>
                </m:rPr>
                <m:t>+</m:t>
              </m:r>
              <m:r>
                <m:t> </m:t>
              </m:r>
            </m:oMath>
            <w:r>
              <w:t xml:space="preserve">500M gross savings vs. cons ~$0 buyback modeled (Q2'26/FY26)</w:t>
            </w:r>
          </w:p>
        </w:tc>
        <w:tc>
          <w:tcPr/>
          <w:p>
            <w:pPr>
              <w:pStyle w:val="Compact"/>
            </w:pPr>
            <w:r>
              <w:t xml:space="preserve">LOW</w:t>
            </w:r>
          </w:p>
        </w:tc>
      </w:tr>
      <w:tr>
        <w:tc>
          <w:tcPr/>
          <w:p>
            <w:pPr>
              <w:pStyle w:val="Compact"/>
            </w:pPr>
            <w:r>
              <w:t xml:space="preserve">BSX</w:t>
            </w:r>
          </w:p>
        </w:tc>
        <w:tc>
          <w:tcPr/>
          <w:p>
            <w:pPr>
              <w:pStyle w:val="Compact"/>
            </w:pPr>
            <w:r>
              <w:t xml:space="preserve">Return</w:t>
            </w:r>
          </w:p>
        </w:tc>
        <w:tc>
          <w:tcPr/>
          <w:p>
            <w:pPr>
              <w:pStyle w:val="Compact"/>
            </w:pPr>
            <w:r>
              <w:t xml:space="preserve">Day-1 residual (stock − beta × S&amp;P 500)</w:t>
            </w:r>
          </w:p>
        </w:tc>
        <w:tc>
          <w:tcPr/>
          <w:p>
            <w:pPr>
              <w:pStyle w:val="Compact"/>
            </w:pPr>
            <w:r>
              <w:t xml:space="preserve">+5.0%</w:t>
            </w:r>
          </w:p>
        </w:tc>
        <w:tc>
          <w:tcPr/>
          <w:p>
            <w:pPr>
              <w:pStyle w:val="Compact"/>
            </w:pPr>
            <w:r>
              <w:t xml:space="preserve">—</w:t>
            </w:r>
          </w:p>
        </w:tc>
        <w:tc>
          <w:tcPr/>
          <w:p>
            <w:pPr>
              <w:pStyle w:val="Compact"/>
            </w:pPr>
            <w:r>
              <w:t xml:space="preserve">MEDIUM</w:t>
            </w:r>
          </w:p>
        </w:tc>
      </w:tr>
      <w:tr>
        <w:tc>
          <w:tcPr/>
          <w:p>
            <w:pPr>
              <w:pStyle w:val="Compact"/>
            </w:pPr>
            <w:r>
              <w:t xml:space="preserve">BSX</w:t>
            </w:r>
          </w:p>
        </w:tc>
        <w:tc>
          <w:tcPr/>
          <w:p>
            <w:pPr>
              <w:pStyle w:val="Compact"/>
            </w:pPr>
            <w:r>
              <w:t xml:space="preserve">Return</w:t>
            </w:r>
          </w:p>
        </w:tc>
        <w:tc>
          <w:tcPr/>
          <w:p>
            <w:pPr>
              <w:pStyle w:val="Compact"/>
            </w:pPr>
            <w:r>
              <w:t xml:space="preserve">5-day cumulative residual</w:t>
            </w:r>
          </w:p>
        </w:tc>
        <w:tc>
          <w:tcPr/>
          <w:p>
            <w:pPr>
              <w:pStyle w:val="Compact"/>
            </w:pPr>
            <w:r>
              <w:t xml:space="preserve">+5.5% (STABILIZE)</w:t>
            </w:r>
          </w:p>
        </w:tc>
        <w:tc>
          <w:tcPr/>
          <w:p>
            <w:pPr>
              <w:pStyle w:val="Compact"/>
            </w:pPr>
            <w:r>
              <w:t xml:space="preserve">Sentiment is washed out (stock -50% YTD, bounced ~8% off late-June lows into print) and the bar is set at guidance. A modest beat on organic/EPS plus a reaffirmed FY26 range and pre-announced restructuring (defends the double-digit EPS algo) should trigger a relief pop of ~+5%. Out-period math is roughly neutral-to-slightly-positive: a Q2 beat pulls FY estimates up modestly, but the FY organic range is only held (not raised) and 2H still needs to accelerate, so estimate revisions are small. After three prior disappointments the market stays skeptical—hence the initial gain largely holds rather than compounding (no strong follow-through), but there's no cut to force a fade. Net: the day-1 move stabilizes with only slight incremental drift, with fragility if any FARAPULSE/WATCHMAN datapoint disappoints.</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2026-07-29T00:05:12Z</dcterms:created>
  <dcterms:modified xsi:type="dcterms:W3CDTF">2026-07-29T00:05:12Z</dcterms:modified>
</cp:coreProperties>
</file>

<file path=docProps/custom.xml><?xml version="1.0" encoding="utf-8"?>
<Properties xmlns="http://schemas.openxmlformats.org/officeDocument/2006/custom-properties" xmlns:vt="http://schemas.openxmlformats.org/officeDocument/2006/docPropsVTypes"/>
</file>