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Boston Scientific (BSX) before writing the preview. Let me gather recent earnings materials, transcripts, and news.The stock data reveals a dramatic story — BSX has fallen ~50% from January highs. Let me dig into the recent earnings materials and the restructuring news.Now let me read the restructuring 8-K and the prior-year Q2 2025 release for comp context, plus recent news.Let me pull the Q4 2025 release to capture the original 2026 guidance, and compute price stats.# Boston Scientific (BSX) — Q2 2026 Earnings Preview</w:t>
      </w:r>
    </w:p>
    <w:bookmarkStart w:id="9" w:name="X39924e14823384056867d78d6655b9ccaa9d3cc"/>
    <w:p>
      <w:pPr>
        <w:pStyle w:val="Heading3"/>
      </w:pPr>
      <w:r>
        <w:t xml:space="preserve">Report expected: Wednesday, July 29, 2026 (before market open) | 2026Q2 Earnings Call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BSX has gone from Street darling to "show-me" story in the span of six months. After a decade of consistently beating-and-raising, management cut full-year guidance in April, the stock has roughly halved year-to-date, and — just days before this print — the company pre-announced a large global restructuring. Tomorrow is about whether the reset guidance is finally the floor.</w:t>
      </w:r>
    </w:p>
    <w:p>
      <w:r>
        <w:pict>
          <v:rect style="width:0;height:1.5pt" o:hralign="center" o:hrstd="t" o:hr="t"/>
        </w:pict>
      </w:r>
    </w:p>
    <w:bookmarkEnd w:id="10"/>
    <w:bookmarkStart w:id="11" w:name="stock-context-a-brutal-de-rating"/>
    <w:p>
      <w:pPr>
        <w:pStyle w:val="Heading2"/>
      </w:pPr>
      <w:r>
        <w:t xml:space="preserve">Stock context: a brutal de-rating</w:t>
      </w:r>
    </w:p>
    <w:p>
      <w:pPr>
        <w:pStyle w:val="Compact"/>
        <w:numPr>
          <w:ilvl w:val="0"/>
          <w:numId w:val="1001"/>
        </w:numPr>
      </w:pPr>
      <w:r>
        <w:t xml:space="preserve">BSX is down</w:t>
      </w:r>
      <w:r>
        <w:t xml:space="preserve"> </w:t>
      </w:r>
      <w:r>
        <w:rPr>
          <w:b/>
          <w:bCs/>
        </w:rPr>
        <w:t xml:space="preserve">~51% year-to-date</w:t>
      </w:r>
      <w:r>
        <w:t xml:space="preserve"> </w:t>
      </w:r>
      <w:r>
        <w:t xml:space="preserve">(from ~</w:t>
      </w:r>
      <m:oMath>
        <m:r>
          <m:t>95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J</m:t>
        </m:r>
        <m:r>
          <m:t>a</m:t>
        </m:r>
        <m:r>
          <m:t>n</m:t>
        </m:r>
        <m:r>
          <m:t>u</m:t>
        </m:r>
        <m:r>
          <m:t>a</m:t>
        </m:r>
        <m:r>
          <m:t>r</m:t>
        </m:r>
        <m:r>
          <m:t>y</m:t>
        </m:r>
        <m:r>
          <m:t>t</m:t>
        </m:r>
        <m:r>
          <m:t>o</m:t>
        </m:r>
        <m:r>
          <m:t> </m:t>
        </m:r>
      </m:oMath>
      <w:r>
        <w:t xml:space="preserve">46 on July 28) and **~53% off its January 7 high of ~$98.65**. This dramatically underperforms the S&amp;P 500 (roughly flat to modestly up over the period) and peers like Abbott and Medtronic.</w:t>
      </w:r>
    </w:p>
    <w:p>
      <w:pPr>
        <w:pStyle w:val="Compact"/>
        <w:numPr>
          <w:ilvl w:val="0"/>
          <w:numId w:val="1001"/>
        </w:numPr>
      </w:pPr>
      <w:r>
        <w:t xml:space="preserve">Two step-downs drove most of the damage: a</w:t>
      </w:r>
      <w:r>
        <w:t xml:space="preserve"> </w:t>
      </w:r>
      <w:r>
        <w:rPr>
          <w:b/>
          <w:bCs/>
        </w:rPr>
        <w:t xml:space="preserve">~-18% gap on Feb 4</w:t>
      </w:r>
      <w:r>
        <w:t xml:space="preserve"> </w:t>
      </w:r>
      <w:r>
        <w:t xml:space="preserve">(Q4'25 print / initial 2026 guide) and continued erosion after the</w:t>
      </w:r>
      <w:r>
        <w:t xml:space="preserve"> </w:t>
      </w:r>
      <w:r>
        <w:rPr>
          <w:b/>
          <w:bCs/>
        </w:rPr>
        <w:t xml:space="preserve">April 22 guidance cut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The shares have stabilized recently, bouncing ~8% off the late-June low near $43. Sentiment is decidedly negative heading in — per pre-earnings commentary, the Street models **~5.3% organic growth and $0.83 EPS**, essentially in line with guidance, with worries centered on electrophysiology, WATCHMAN, urology, and FARAPULSE share loss.</w:t>
      </w:r>
    </w:p>
    <w:p>
      <w:pPr>
        <w:pStyle w:val="FirstParagraph"/>
      </w:pPr>
      <w:r>
        <w:rPr>
          <w:b/>
          <w:bCs/>
        </w:rPr>
        <w:t xml:space="preserve">Implication:</w:t>
      </w:r>
      <w:r>
        <w:t xml:space="preserve"> </w:t>
      </w:r>
      <w:r>
        <w:t xml:space="preserve">Expectations are washed out. The bar for a relief rally is low — an in-line quarter with a</w:t>
      </w:r>
      <w:r>
        <w:t xml:space="preserve"> </w:t>
      </w:r>
      <w:r>
        <w:rPr>
          <w:i/>
          <w:iCs/>
        </w:rPr>
        <w:t xml:space="preserve">maintained</w:t>
      </w:r>
      <w:r>
        <w:t xml:space="preserve"> </w:t>
      </w:r>
      <w:r>
        <w:t xml:space="preserve">full-year guide could be enough. But another guide-down would confirm the bear case that the long-range plan (LRP) is broken.</w:t>
      </w:r>
    </w:p>
    <w:p>
      <w:r>
        <w:pict>
          <v:rect style="width:0;height:1.5pt" o:hralign="center" o:hrstd="t" o:hr="t"/>
        </w:pict>
      </w:r>
    </w:p>
    <w:bookmarkEnd w:id="11"/>
    <w:bookmarkStart w:id="12" w:name="Xfd45061025a93e93a14e9ce5c32ea314cd909d9"/>
    <w:p>
      <w:pPr>
        <w:pStyle w:val="Heading2"/>
      </w:pPr>
      <w:r>
        <w:t xml:space="preserve">How we got here: the 2026 guidance journey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FY26 Organic Growth</w:t>
            </w:r>
          </w:p>
        </w:tc>
        <w:tc>
          <w:tcPr/>
          <w:p>
            <w:pPr>
              <w:pStyle w:val="Compact"/>
            </w:pPr>
            <w:r>
              <w:t xml:space="preserve">FY26 Adj. EPS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Initial guide</w:t>
            </w:r>
            <w:r>
              <w:t xml:space="preserve"> </w:t>
            </w:r>
            <w:r>
              <w:t xml:space="preserve">(Feb 4, w/ Q4'25)</w:t>
            </w:r>
          </w:p>
        </w:tc>
        <w:tc>
          <w:tcPr/>
          <w:p>
            <w:pPr>
              <w:pStyle w:val="Compact"/>
            </w:pPr>
            <w:r>
              <w:t xml:space="preserve">10.0–11.0%</w:t>
            </w:r>
          </w:p>
        </w:tc>
        <w:tc>
          <w:tcPr/>
          <w:p>
            <w:pPr>
              <w:pStyle w:val="Compact"/>
            </w:pPr>
            <m:oMath>
              <m:r>
                <m:t>3.43</m:t>
              </m:r>
              <m:r>
                <m:rPr>
                  <m:sty m:val="p"/>
                </m:rPr>
                <m:t>–</m:t>
              </m:r>
            </m:oMath>
            <w:r>
              <w:t xml:space="preserve">3.49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Revised guide</w:t>
            </w:r>
            <w:r>
              <w:t xml:space="preserve"> </w:t>
            </w:r>
            <w:r>
              <w:t xml:space="preserve">(Apr 22, w/ Q1'26)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6.5–8.0%</w:t>
            </w:r>
          </w:p>
        </w:tc>
        <w:tc>
          <w:tcPr/>
          <w:p>
            <w:pPr>
              <w:pStyle w:val="Compact"/>
            </w:pPr>
            <m:oMath>
              <m:r>
                <m:t>3.34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3.41</w:t>
            </w:r>
            <w:r>
              <w:t xml:space="preserve"> </w:t>
            </w:r>
            <w:r>
              <w:t xml:space="preserve">(+9–11%)</w:t>
            </w:r>
          </w:p>
        </w:tc>
      </w:tr>
    </w:tbl>
    <w:p>
      <w:pPr>
        <w:pStyle w:val="BodyText"/>
      </w:pPr>
      <w:r>
        <w:t xml:space="preserve">The April cut was notable because Q1 itself was</w:t>
      </w:r>
      <w:r>
        <w:t xml:space="preserve"> </w:t>
      </w:r>
      <w:r>
        <w:rPr>
          <w:i/>
          <w:iCs/>
        </w:rPr>
        <w:t xml:space="preserve">fine</w:t>
      </w:r>
      <w:r>
        <w:t xml:space="preserve"> </w:t>
      </w:r>
      <w:r>
        <w:t xml:space="preserve">—</w:t>
      </w:r>
      <w:r>
        <w:t xml:space="preserve"> </w:t>
      </w:r>
      <w:r>
        <w:rPr>
          <w:b/>
          <w:bCs/>
        </w:rPr>
        <w:t xml:space="preserve">+9.4% organic</w:t>
      </w:r>
      <w:r>
        <w:t xml:space="preserve"> </w:t>
      </w:r>
      <w:r>
        <w:t xml:space="preserve">(high end of guide) and</w:t>
      </w:r>
      <w:r>
        <w:t xml:space="preserve"> </w:t>
      </w:r>
      <w:r>
        <w:rPr>
          <w:b/>
          <w:bCs/>
        </w:rPr>
        <w:t xml:space="preserve">$0.80 adjusted EPS</w:t>
      </w:r>
      <w:r>
        <w:t xml:space="preserve"> </w:t>
      </w:r>
      <w:r>
        <w:t xml:space="preserve">(high end). Management (Mahoney called it "not my happiest moment") attributed the reduction to three areas: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WATCHMAN</w:t>
      </w:r>
      <w:r>
        <w:t xml:space="preserve"> </w:t>
      </w:r>
      <w:r>
        <w:t xml:space="preserve">— a mid-February inflection where strong</w:t>
      </w:r>
      <w:r>
        <w:t xml:space="preserve"> </w:t>
      </w:r>
      <w:r>
        <w:rPr>
          <w:i/>
          <w:iCs/>
        </w:rPr>
        <w:t xml:space="preserve">concomitant</w:t>
      </w:r>
      <w:r>
        <w:t xml:space="preserve"> </w:t>
      </w:r>
      <w:r>
        <w:t xml:space="preserve">(with-ablation) demand was offset by decelerating</w:t>
      </w:r>
      <w:r>
        <w:t xml:space="preserve"> </w:t>
      </w:r>
      <w:r>
        <w:rPr>
          <w:i/>
          <w:iCs/>
        </w:rPr>
        <w:t xml:space="preserve">stand-alone</w:t>
      </w:r>
      <w:r>
        <w:t xml:space="preserve"> </w:t>
      </w:r>
      <w:r>
        <w:t xml:space="preserve">implants, pressured by hospital capacity, procedure prioritization, a shift of cases from interventional cardiologists to EPs, and reimbursement dynamics.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Electrophysiology / FARAPULSE</w:t>
      </w:r>
      <w:r>
        <w:t xml:space="preserve"> </w:t>
      </w:r>
      <w:r>
        <w:t xml:space="preserve">— more PFA share erosion than expected as Medtronic, J&amp;J, and now Abbott intensify competition in the U.S.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Urology</w:t>
      </w:r>
      <w:r>
        <w:t xml:space="preserve"> </w:t>
      </w:r>
      <w:r>
        <w:t xml:space="preserve">— a weak +1% organic Q1, driven by stone management (China VBP + product gaps) and ongoing sacral neuromodulation (SNM) commercial disruption.</w:t>
      </w:r>
    </w:p>
    <w:p>
      <w:pPr>
        <w:pStyle w:val="FirstParagraph"/>
      </w:pPr>
      <w:r>
        <w:t xml:space="preserve">Management framed</w:t>
      </w:r>
      <w:r>
        <w:t xml:space="preserve"> </w:t>
      </w:r>
      <w:r>
        <w:rPr>
          <w:b/>
          <w:bCs/>
        </w:rPr>
        <w:t xml:space="preserve">Q2 as "the toughest quarter of the year"</w:t>
      </w:r>
      <w:r>
        <w:t xml:space="preserve"> </w:t>
      </w:r>
      <w:r>
        <w:t xml:space="preserve">due to very difficult sequential dollar comps in EP and WATCHMAN, plus transient endoscopy supply-chain issues — with improvement expected in 2H.</w:t>
      </w:r>
    </w:p>
    <w:p>
      <w:r>
        <w:pict>
          <v:rect style="width:0;height:1.5pt" o:hralign="center" o:hrstd="t" o:hr="t"/>
        </w:pict>
      </w:r>
    </w:p>
    <w:bookmarkEnd w:id="12"/>
    <w:bookmarkStart w:id="13" w:name="what-q2-2026-guidance-implies"/>
    <w:p>
      <w:pPr>
        <w:pStyle w:val="Heading2"/>
      </w:pPr>
      <w:r>
        <w:t xml:space="preserve">What Q2 2026 guidance implies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Guide</w:t>
            </w:r>
          </w:p>
        </w:tc>
        <w:tc>
          <w:tcPr/>
          <w:p>
            <w:pPr>
              <w:pStyle w:val="Compact"/>
            </w:pPr>
            <w:r>
              <w:t xml:space="preserve">Q2 2025 Actual (comp)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 revenue growth</w:t>
            </w:r>
          </w:p>
        </w:tc>
        <w:tc>
          <w:tcPr/>
          <w:p>
            <w:pPr>
              <w:pStyle w:val="Compact"/>
            </w:pPr>
            <w:r>
              <w:t xml:space="preserve">5.5–7.5%</w:t>
            </w:r>
          </w:p>
        </w:tc>
        <w:tc>
          <w:tcPr/>
          <w:p>
            <w:pPr>
              <w:pStyle w:val="Compact"/>
            </w:pPr>
            <w:r>
              <w:t xml:space="preserve">+22.8%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5.0–7.0%</w:t>
            </w:r>
          </w:p>
        </w:tc>
        <w:tc>
          <w:tcPr/>
          <w:p>
            <w:pPr>
              <w:pStyle w:val="Compact"/>
            </w:pPr>
            <w:r>
              <w:t xml:space="preserve">+17.4%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m:oMath>
              <m:r>
                <m:t>0.82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0.84</w:t>
            </w:r>
          </w:p>
        </w:tc>
        <w:tc>
          <w:tcPr/>
          <w:p>
            <w:pPr>
              <w:pStyle w:val="Compact"/>
            </w:pPr>
            <w:r>
              <w:t xml:space="preserve">$0.75</w:t>
            </w:r>
          </w:p>
        </w:tc>
      </w:tr>
      <w:tr>
        <w:tc>
          <w:tcPr/>
          <w:p>
            <w:pPr>
              <w:pStyle w:val="Compact"/>
            </w:pPr>
            <w:r>
              <w:t xml:space="preserve">Implied revenue</w:t>
            </w:r>
          </w:p>
        </w:tc>
        <w:tc>
          <w:tcPr/>
          <w:p>
            <w:pPr>
              <w:pStyle w:val="Compact"/>
            </w:pPr>
            <w:r>
              <w:t xml:space="preserve">~$5.34–5.44B</w:t>
            </w:r>
          </w:p>
        </w:tc>
        <w:tc>
          <w:tcPr/>
          <w:p>
            <w:pPr>
              <w:pStyle w:val="Compact"/>
            </w:pPr>
            <w:r>
              <w:t xml:space="preserve">$5.061B</w:t>
            </w:r>
          </w:p>
        </w:tc>
      </w:tr>
    </w:tbl>
    <w:p>
      <w:pPr>
        <w:pStyle w:val="BodyText"/>
      </w:pPr>
      <w:r>
        <w:t xml:space="preserve">Note the</w:t>
      </w:r>
      <w:r>
        <w:t xml:space="preserve"> </w:t>
      </w:r>
      <w:r>
        <w:rPr>
          <w:b/>
          <w:bCs/>
        </w:rPr>
        <w:t xml:space="preserve">very tough prior-year comp</w:t>
      </w:r>
      <w:r>
        <w:t xml:space="preserve">: Q2'25 was BSX's peak, with +17.4% organic and a big U.S. beat (+30.7% reported). The EPS guide still implies</w:t>
      </w:r>
      <w:r>
        <w:t xml:space="preserve"> </w:t>
      </w:r>
      <w:r>
        <w:rPr>
          <w:b/>
          <w:bCs/>
        </w:rPr>
        <w:t xml:space="preserve">~9–12% growth</w:t>
      </w:r>
      <w:r>
        <w:t xml:space="preserve"> </w:t>
      </w:r>
      <w:r>
        <w:t xml:space="preserve">despite the top-line slowdown, reflecting aggressive cost control.</w:t>
      </w:r>
    </w:p>
    <w:p>
      <w:r>
        <w:pict>
          <v:rect style="width:0;height:1.5pt" o:hralign="center" o:hrstd="t" o:hr="t"/>
        </w:pict>
      </w:r>
    </w:p>
    <w:bookmarkEnd w:id="13"/>
    <w:bookmarkStart w:id="22" w:name="the-key-debates-for-tomorrow"/>
    <w:p>
      <w:pPr>
        <w:pStyle w:val="Heading2"/>
      </w:pPr>
      <w:r>
        <w:t xml:space="preserve">The key debates for tomorrow</w:t>
      </w:r>
    </w:p>
    <w:bookmarkStart w:id="14" w:name="Xfb703b455cfdf5d97f22605e5373a7ac3849bd3"/>
    <w:p>
      <w:pPr>
        <w:pStyle w:val="Heading3"/>
      </w:pPr>
      <w:r>
        <w:t xml:space="preserve">1. Is the guide the floor, or is another cut coming?</w:t>
      </w:r>
    </w:p>
    <w:p>
      <w:pPr>
        <w:pStyle w:val="FirstParagraph"/>
      </w:pPr>
      <w:r>
        <w:t xml:space="preserve">This is the whole ballgame. Given the April reset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the pre-announced restructuring, watch closely whether management</w:t>
      </w:r>
      <w:r>
        <w:t xml:space="preserve"> </w:t>
      </w:r>
      <w:r>
        <w:rPr>
          <w:b/>
          <w:bCs/>
        </w:rPr>
        <w:t xml:space="preserve">holds, trims, or "kitchen-sinks"</w:t>
      </w:r>
      <w:r>
        <w:t xml:space="preserve"> </w:t>
      </w:r>
      <w:r>
        <w:t xml:space="preserve">the FY26 organic range (6.5–8%). Holding the line — especially with a Q2 at or above the 5–7% organic guide — would be a meaningful confidence signal.</w:t>
      </w:r>
    </w:p>
    <w:bookmarkEnd w:id="14"/>
    <w:bookmarkStart w:id="15" w:name="X0efec2e29992ddd998cfd7d996642003302131d"/>
    <w:p>
      <w:pPr>
        <w:pStyle w:val="Heading3"/>
      </w:pPr>
      <w:r>
        <w:t xml:space="preserve">2. The restructuring pre-announcement (July 21/27)</w:t>
      </w:r>
    </w:p>
    <w:p>
      <w:pPr>
        <w:pStyle w:val="FirstParagraph"/>
      </w:pPr>
      <w:r>
        <w:t xml:space="preserve">Just ahead of the print, the Board approved a</w:t>
      </w:r>
      <w:r>
        <w:t xml:space="preserve"> </w:t>
      </w:r>
      <w:r>
        <w:rPr>
          <w:b/>
          <w:bCs/>
        </w:rPr>
        <w:t xml:space="preserve">2026 Restructuring Plan</w:t>
      </w:r>
      <w:r>
        <w:t xml:space="preserve">:</w:t>
      </w:r>
      <w:r>
        <w:t xml:space="preserve"> </w:t>
      </w:r>
      <m:oMath>
        <m:r>
          <m:t>700</m:t>
        </m:r>
        <m:r>
          <m:rPr>
            <m:sty m:val="p"/>
          </m:rPr>
          <m:t>–</m:t>
        </m:r>
        <m:r>
          <m:t>800</m:t>
        </m:r>
        <m:r>
          <m:t>M</m:t>
        </m:r>
        <m:r>
          <m:t>i</m:t>
        </m:r>
        <m:r>
          <m:t>n</m:t>
        </m:r>
        <m:r>
          <m:t>p</m:t>
        </m:r>
        <m:r>
          <m:t>r</m:t>
        </m:r>
        <m:r>
          <m:t>e</m:t>
        </m:r>
        <m:r>
          <m:rPr>
            <m:sty m:val="p"/>
          </m:rPr>
          <m:t>−</m:t>
        </m:r>
        <m:r>
          <m:t>t</m:t>
        </m:r>
        <m:r>
          <m:t>a</m:t>
        </m:r>
        <m:r>
          <m:t>x</m:t>
        </m:r>
        <m:r>
          <m:t>c</m:t>
        </m:r>
        <m:r>
          <m:t>h</m:t>
        </m:r>
        <m:r>
          <m:t>a</m:t>
        </m:r>
        <m:r>
          <m:t>r</m:t>
        </m:r>
        <m:r>
          <m:t>g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f</m:t>
        </m:r>
        <m:r>
          <m:t>e</m:t>
        </m:r>
        <m:r>
          <m:t>r</m:t>
        </m:r>
        <m:r>
          <m:t>c</m:t>
        </m:r>
        <m:r>
          <m:t>o</m:t>
        </m:r>
        <m:r>
          <m:t>s</m:t>
        </m:r>
        <m:r>
          <m:t>t</m:t>
        </m:r>
        <m:r>
          <m:t>s</m:t>
        </m:r>
        <m:r>
          <m:rPr>
            <m:sty m:val="p"/>
          </m:rPr>
          <m:t>,</m:t>
        </m:r>
        <m:r>
          <m:t>t</m:t>
        </m:r>
        <m:r>
          <m:t>e</m:t>
        </m:r>
        <m:r>
          <m:t>r</m:t>
        </m:r>
        <m:r>
          <m:t>m</m:t>
        </m:r>
        <m:r>
          <m:t>i</m:t>
        </m:r>
        <m:r>
          <m:t>n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b</m:t>
        </m:r>
        <m:r>
          <m:t>e</m:t>
        </m:r>
        <m:r>
          <m:t>n</m:t>
        </m:r>
        <m:r>
          <m:t>e</m:t>
        </m:r>
        <m:r>
          <m:t>f</m:t>
        </m:r>
        <m:r>
          <m:t>i</m:t>
        </m:r>
        <m:r>
          <m:t>t</m:t>
        </m:r>
        <m:r>
          <m:t>s</m:t>
        </m:r>
        <m:r>
          <m:rPr>
            <m:sty m:val="p"/>
          </m:rPr>
          <m:t>)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rPr>
          <w:b/>
          <w:bCs/>
        </w:rPr>
        <w:t xml:space="preserve">500M of gross annual pre-tax savings</w:t>
      </w:r>
      <w:r>
        <w:t xml:space="preserve">, substantially complete by 2029. Crucially,</w:t>
      </w:r>
      <w:r>
        <w:t xml:space="preserve"> </w:t>
      </w:r>
      <w:r>
        <w:rPr>
          <w:b/>
          <w:bCs/>
        </w:rPr>
        <w:t xml:space="preserve">"a substantial portion of the savings [is] expected to be reinvested in strategic growth initiatives."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Bull read:</w:t>
      </w:r>
      <w:r>
        <w:t xml:space="preserve"> </w:t>
      </w:r>
      <w:r>
        <w:t xml:space="preserve">protects the double-digit EPS algorithm and 150 bps of LRP margin expansion even if top-line stays sub-trend.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Bear read:</w:t>
      </w:r>
      <w:r>
        <w:t xml:space="preserve"> </w:t>
      </w:r>
      <w:r>
        <w:t xml:space="preserve">cutting into a slowdown signals management no longer sees the revenue snap-back it once did. Watch how much savings actually drops to the bottom line vs. gets reinvested.</w:t>
      </w:r>
    </w:p>
    <w:bookmarkEnd w:id="15"/>
    <w:bookmarkStart w:id="16" w:name="X1345a557774dd8d56089751bc51fa2563195fb2"/>
    <w:p>
      <w:pPr>
        <w:pStyle w:val="Heading3"/>
      </w:pPr>
      <w:r>
        <w:t xml:space="preserve">3. Electrophysiology / FARAPULSE — the most important number</w:t>
      </w:r>
    </w:p>
    <w:p>
      <w:pPr>
        <w:pStyle w:val="FirstParagraph"/>
      </w:pPr>
      <w:r>
        <w:t xml:space="preserve">BSX guided</w:t>
      </w:r>
      <w:r>
        <w:t xml:space="preserve"> </w:t>
      </w:r>
      <w:r>
        <w:rPr>
          <w:b/>
          <w:bCs/>
        </w:rPr>
        <w:t xml:space="preserve">global EP ~10%</w:t>
      </w:r>
      <w:r>
        <w:t xml:space="preserve"> </w:t>
      </w:r>
      <w:r>
        <w:t xml:space="preserve">for FY26, with</w:t>
      </w:r>
      <w:r>
        <w:t xml:space="preserve"> </w:t>
      </w:r>
      <w:r>
        <w:rPr>
          <w:b/>
          <w:bCs/>
        </w:rPr>
        <w:t xml:space="preserve">U.S. mid-single-digit</w:t>
      </w:r>
      <w:r>
        <w:t xml:space="preserve"> </w:t>
      </w:r>
      <w:r>
        <w:t xml:space="preserve">(implying roughly</w:t>
      </w:r>
      <w:r>
        <w:t xml:space="preserve"> </w:t>
      </w:r>
      <w:r>
        <w:rPr>
          <w:i/>
          <w:iCs/>
        </w:rPr>
        <w:t xml:space="preserve">flat</w:t>
      </w:r>
      <w:r>
        <w:t xml:space="preserve"> </w:t>
      </w:r>
      <w:r>
        <w:t xml:space="preserve">U.S. sequentially 2Q–4Q) and</w:t>
      </w:r>
      <w:r>
        <w:t xml:space="preserve"> </w:t>
      </w:r>
      <w:r>
        <w:rPr>
          <w:b/>
          <w:bCs/>
        </w:rPr>
        <w:t xml:space="preserve">international ~+20%</w:t>
      </w:r>
      <w:r>
        <w:t xml:space="preserve">. The market is watching for evidence BSX is stabilizing PFA share against MDT/JNJ/ABT. Any incremental U.S. share commentary — and updates on the pipeline (next-gen FARAWAVE, FARAPOINT ramp, Faraflex, mapping/OPAL adoption) — will move the stock.</w:t>
      </w:r>
    </w:p>
    <w:bookmarkEnd w:id="16"/>
    <w:bookmarkStart w:id="17" w:name="Xb222debde53bc38599b43e7d18677dadb313409"/>
    <w:p>
      <w:pPr>
        <w:pStyle w:val="Heading3"/>
      </w:pPr>
      <w:r>
        <w:t xml:space="preserve">4. WATCHMAN — stand-alone vs. concomitant</w:t>
      </w:r>
    </w:p>
    <w:p>
      <w:pPr>
        <w:pStyle w:val="FirstParagraph"/>
      </w:pPr>
      <w:r>
        <w:t xml:space="preserve">FY guide is</w:t>
      </w:r>
      <w:r>
        <w:t xml:space="preserve"> </w:t>
      </w:r>
      <w:r>
        <w:rPr>
          <w:b/>
          <w:bCs/>
        </w:rPr>
        <w:t xml:space="preserve">global mid-teens / U.S. low-to-mid-teens</w:t>
      </w:r>
      <w:r>
        <w:t xml:space="preserve"> </w:t>
      </w:r>
      <w:r>
        <w:t xml:space="preserve">(down from ~30% growth in 2025). Investors want confirmation that (a) stand-alone declines are stabilizing, and (b) the positive</w:t>
      </w:r>
      <w:r>
        <w:t xml:space="preserve"> </w:t>
      </w:r>
      <w:r>
        <w:rPr>
          <w:b/>
          <w:bCs/>
        </w:rPr>
        <w:t xml:space="preserve">CHAMPION-AF</w:t>
      </w:r>
      <w:r>
        <w:t xml:space="preserve"> </w:t>
      </w:r>
      <w:r>
        <w:t xml:space="preserve">data (met all primary/secondary endpoints, presented at ACC / published in NEJM) is starting to translate into label/guideline momentum and reaccelerating volumes. Concomitant is ~25% of procedures today, targeted to reach ~50% over the LRP.</w:t>
      </w:r>
    </w:p>
    <w:bookmarkEnd w:id="17"/>
    <w:bookmarkStart w:id="18" w:name="X54fa1d8df554a3f7d176e8c240ed5dcbcf8320d"/>
    <w:p>
      <w:pPr>
        <w:pStyle w:val="Heading3"/>
      </w:pPr>
      <w:r>
        <w:t xml:space="preserve">5. Urology recovery</w:t>
      </w:r>
    </w:p>
    <w:p>
      <w:pPr>
        <w:pStyle w:val="FirstParagraph"/>
      </w:pPr>
      <w:r>
        <w:t xml:space="preserve">Look for sequential improvement from the +1% Q1 trough as the SNM sales force is rebuilt (~100 reps hired/training) and new products launch (Asurys, eCoin/Valencia, slim ureteroscope). FY expectation was reset to</w:t>
      </w:r>
      <w:r>
        <w:t xml:space="preserve"> </w:t>
      </w:r>
      <w:r>
        <w:rPr>
          <w:b/>
          <w:bCs/>
        </w:rPr>
        <w:t xml:space="preserve">low-to-mid single digits</w:t>
      </w:r>
      <w:r>
        <w:t xml:space="preserve"> </w:t>
      </w:r>
      <w:r>
        <w:t xml:space="preserve">— below-market for BSX.</w:t>
      </w:r>
    </w:p>
    <w:bookmarkEnd w:id="18"/>
    <w:bookmarkStart w:id="19" w:name="X5b0a590bdffc9638d1fcf319cca902b56f96410"/>
    <w:p>
      <w:pPr>
        <w:pStyle w:val="Heading3"/>
      </w:pPr>
      <w:r>
        <w:t xml:space="preserve">6. Margins, cash, and buyback</w:t>
      </w:r>
    </w:p>
    <w:p>
      <w:pPr>
        <w:pStyle w:val="Compact"/>
        <w:numPr>
          <w:ilvl w:val="0"/>
          <w:numId w:val="1004"/>
        </w:numPr>
      </w:pPr>
      <w:r>
        <w:t xml:space="preserve">FY26 adjusted operating margin still guided to</w:t>
      </w:r>
      <w:r>
        <w:t xml:space="preserve"> </w:t>
      </w:r>
      <w:r>
        <w:rPr>
          <w:b/>
          <w:bCs/>
        </w:rPr>
        <w:t xml:space="preserve">+50–75 bps</w:t>
      </w:r>
      <w:r>
        <w:t xml:space="preserve">, but</w:t>
      </w:r>
      <w:r>
        <w:t xml:space="preserve"> </w:t>
      </w:r>
      <w:r>
        <w:rPr>
          <w:b/>
          <w:bCs/>
        </w:rPr>
        <w:t xml:space="preserve">gross margin now expected slightly below 2025</w:t>
      </w:r>
      <w:r>
        <w:t xml:space="preserve"> </w:t>
      </w:r>
      <w:r>
        <w:t xml:space="preserve">(tariffs, POLARx discontinuation, less mix benefit) — so the story is now an</w:t>
      </w:r>
      <w:r>
        <w:t xml:space="preserve"> </w:t>
      </w:r>
      <w:r>
        <w:rPr>
          <w:b/>
          <w:bCs/>
        </w:rPr>
        <w:t xml:space="preserve">OpEx-leverage / cost-out</w:t>
      </w:r>
      <w:r>
        <w:t xml:space="preserve"> </w:t>
      </w:r>
      <w:r>
        <w:t xml:space="preserve">story, not gross-margin expansion.</w:t>
      </w:r>
    </w:p>
    <w:p>
      <w:pPr>
        <w:pStyle w:val="Compact"/>
        <w:numPr>
          <w:ilvl w:val="0"/>
          <w:numId w:val="1004"/>
        </w:numPr>
      </w:pPr>
      <w:r>
        <w:t xml:space="preserve">FY26 FCF guided ~</w:t>
      </w:r>
      <w:r>
        <w:rPr>
          <w:b/>
          <w:bCs/>
        </w:rPr>
        <w:t xml:space="preserve">$4B</w:t>
      </w:r>
      <w:r>
        <w:t xml:space="preserve">; leverage 1.8x; tax ~12%.</w:t>
      </w:r>
    </w:p>
    <w:p>
      <w:pPr>
        <w:pStyle w:val="Compact"/>
        <w:numPr>
          <w:ilvl w:val="0"/>
          <w:numId w:val="1004"/>
        </w:numPr>
      </w:pPr>
      <w:r>
        <w:t xml:space="preserve">Management said it intended to repurchase</w:t>
      </w:r>
      <w:r>
        <w:t xml:space="preserve"> </w:t>
      </w:r>
      <w:r>
        <w:rPr>
          <w:b/>
          <w:bCs/>
        </w:rPr>
        <w:t xml:space="preserve">~$2B of stock in Q2</w:t>
      </w:r>
      <w:r>
        <w:t xml:space="preserve"> </w:t>
      </w:r>
      <w:r>
        <w:t xml:space="preserve">(its first buyback in years) once out of the Penumbra-related blackout — watch for confirmation it bought back aggressively at depressed prices, a signal of conviction.</w:t>
      </w:r>
    </w:p>
    <w:bookmarkEnd w:id="19"/>
    <w:bookmarkStart w:id="20" w:name="X544274c91c6f6e2298c7240bd3201f589338d10"/>
    <w:p>
      <w:pPr>
        <w:pStyle w:val="Heading3"/>
      </w:pPr>
      <w:r>
        <w:t xml:space="preserve">7. Penumbra (~$15B) integration</w:t>
      </w:r>
    </w:p>
    <w:p>
      <w:pPr>
        <w:pStyle w:val="FirstParagraph"/>
      </w:pPr>
      <w:r>
        <w:t xml:space="preserve">The deal cleared the Penumbra shareholder vote (early May) and was expected to</w:t>
      </w:r>
      <w:r>
        <w:t xml:space="preserve"> </w:t>
      </w:r>
      <w:r>
        <w:rPr>
          <w:b/>
          <w:bCs/>
        </w:rPr>
        <w:t xml:space="preserve">close in 2H26</w:t>
      </w:r>
      <w:r>
        <w:t xml:space="preserve">. Watch for updated closing timing, financing/accretion commentary, and reassurance the deal economics still work after BSX's own equity de-rated.</w:t>
      </w:r>
    </w:p>
    <w:bookmarkEnd w:id="20"/>
    <w:bookmarkStart w:id="21" w:name="X1c112ad805c329a7f96f5dbd7a9b47e832e3590"/>
    <w:p>
      <w:pPr>
        <w:pStyle w:val="Heading3"/>
      </w:pPr>
      <w:r>
        <w:t xml:space="preserve">8. The LRP question</w:t>
      </w:r>
    </w:p>
    <w:p>
      <w:pPr>
        <w:pStyle w:val="FirstParagraph"/>
      </w:pPr>
      <w:r>
        <w:t xml:space="preserve">On the Q1 call, management</w:t>
      </w:r>
      <w:r>
        <w:t xml:space="preserve"> </w:t>
      </w:r>
      <w:r>
        <w:rPr>
          <w:b/>
          <w:bCs/>
        </w:rPr>
        <w:t xml:space="preserve">backed away from the prior "10%+" LRP top-line target</w:t>
      </w:r>
      <w:r>
        <w:t xml:space="preserve"> </w:t>
      </w:r>
      <w:r>
        <w:t xml:space="preserve">(now framed as "likely an upside scenario"), while reaffirming</w:t>
      </w:r>
      <w:r>
        <w:t xml:space="preserve"> </w:t>
      </w:r>
      <w:r>
        <w:rPr>
          <w:b/>
          <w:bCs/>
        </w:rPr>
        <w:t xml:space="preserve">~150 bps of margin expansion and double-digit EPS growth</w:t>
      </w:r>
      <w:r>
        <w:t xml:space="preserve"> </w:t>
      </w:r>
      <w:r>
        <w:t xml:space="preserve">through the plan. Any refresh of long-term revenue framing — and confidence in a 2027 reacceleration (easier comps + product launches) — is a key swing factor for the multiple.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what-would-move-the-stock"/>
    <w:p>
      <w:pPr>
        <w:pStyle w:val="Heading2"/>
      </w:pPr>
      <w:r>
        <w:t xml:space="preserve">What would move the stock</w:t>
      </w:r>
    </w:p>
    <w:p>
      <w:pPr>
        <w:pStyle w:val="FirstParagraph"/>
      </w:pPr>
      <w:r>
        <w:rPr>
          <w:b/>
          <w:bCs/>
        </w:rPr>
        <w:t xml:space="preserve">Bullish signals</w:t>
      </w:r>
    </w:p>
    <w:p>
      <w:pPr>
        <w:pStyle w:val="Compact"/>
        <w:numPr>
          <w:ilvl w:val="0"/>
          <w:numId w:val="1005"/>
        </w:numPr>
      </w:pPr>
      <w:r>
        <w:t xml:space="preserve">Q2 organic at/above the 5–7% guide; FY26 guide</w:t>
      </w:r>
      <w:r>
        <w:t xml:space="preserve"> </w:t>
      </w:r>
      <w:r>
        <w:rPr>
          <w:b/>
          <w:bCs/>
        </w:rPr>
        <w:t xml:space="preserve">maintained or raised</w:t>
      </w:r>
    </w:p>
    <w:p>
      <w:pPr>
        <w:pStyle w:val="Compact"/>
        <w:numPr>
          <w:ilvl w:val="0"/>
          <w:numId w:val="1005"/>
        </w:numPr>
      </w:pPr>
      <w:r>
        <w:t xml:space="preserve">U.S. EP stabilizing; WATCHMAN stand-alone inflecting positive</w:t>
      </w:r>
    </w:p>
    <w:p>
      <w:pPr>
        <w:pStyle w:val="Compact"/>
        <w:numPr>
          <w:ilvl w:val="0"/>
          <w:numId w:val="1005"/>
        </w:numPr>
      </w:pPr>
      <w:r>
        <w:t xml:space="preserve">Restructuring savings largely flowing to EPS; buyback executed near lows</w:t>
      </w:r>
    </w:p>
    <w:p>
      <w:pPr>
        <w:pStyle w:val="Compact"/>
        <w:numPr>
          <w:ilvl w:val="0"/>
          <w:numId w:val="1005"/>
        </w:numPr>
      </w:pPr>
      <w:r>
        <w:t xml:space="preserve">Confident 2027 reacceleration narrative</w:t>
      </w:r>
    </w:p>
    <w:p>
      <w:pPr>
        <w:pStyle w:val="FirstParagraph"/>
      </w:pPr>
      <w:r>
        <w:rPr>
          <w:b/>
          <w:bCs/>
        </w:rPr>
        <w:t xml:space="preserve">Bearish signals</w:t>
      </w:r>
    </w:p>
    <w:p>
      <w:pPr>
        <w:pStyle w:val="Compact"/>
        <w:numPr>
          <w:ilvl w:val="0"/>
          <w:numId w:val="1006"/>
        </w:numPr>
      </w:pPr>
      <w:r>
        <w:t xml:space="preserve">Another FY guide cut or a Q2 miss on the (already lowered) bar</w:t>
      </w:r>
    </w:p>
    <w:p>
      <w:pPr>
        <w:pStyle w:val="Compact"/>
        <w:numPr>
          <w:ilvl w:val="0"/>
          <w:numId w:val="1006"/>
        </w:numPr>
      </w:pPr>
      <w:r>
        <w:t xml:space="preserve">Continued U.S. PFA share loss / no WATCHMAN stabilization</w:t>
      </w:r>
    </w:p>
    <w:p>
      <w:pPr>
        <w:pStyle w:val="Compact"/>
        <w:numPr>
          <w:ilvl w:val="0"/>
          <w:numId w:val="1006"/>
        </w:numPr>
      </w:pPr>
      <w:r>
        <w:t xml:space="preserve">Gross-margin pressure worse than flagged; savings fully reinvested (no EPS flow-through)</w:t>
      </w:r>
    </w:p>
    <w:p>
      <w:pPr>
        <w:pStyle w:val="Compact"/>
        <w:numPr>
          <w:ilvl w:val="0"/>
          <w:numId w:val="1006"/>
        </w:numPr>
      </w:pPr>
      <w:r>
        <w:t xml:space="preserve">Softer/uncertain Penumbra close or LRP commentary</w:t>
      </w:r>
    </w:p>
    <w:p>
      <w:r>
        <w:pict>
          <v:rect style="width:0;height:1.5pt" o:hralign="center" o:hrstd="t" o:hr="t"/>
        </w:pict>
      </w:r>
    </w:p>
    <w:bookmarkEnd w:id="23"/>
    <w:bookmarkStart w:id="2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BSX enters this print as a fallen compounder trading near multi-year relative lows, with a heavily de-risked guide and a fresh restructuring aimed at defending its double-digit EPS algorithm. The fundamental questions —</w:t>
      </w:r>
      <w:r>
        <w:t xml:space="preserve"> </w:t>
      </w:r>
      <w:r>
        <w:rPr>
          <w:b/>
          <w:bCs/>
        </w:rPr>
        <w:t xml:space="preserve">can it stabilize PFA share, re-accelerate WATCHMAN, and fix Urology</w:t>
      </w:r>
      <w:r>
        <w:t xml:space="preserve"> </w:t>
      </w:r>
      <w:r>
        <w:t xml:space="preserve">— won't be fully answered in one quarter. But with sentiment this negative and the Street essentially modeling in-line with guidance, the</w:t>
      </w:r>
      <w:r>
        <w:t xml:space="preserve"> </w:t>
      </w:r>
      <w:r>
        <w:rPr>
          <w:b/>
          <w:bCs/>
        </w:rPr>
        <w:t xml:space="preserve">asymmetry favors a relief move if management simply holds the line and points credibly to a 2027 recovery.</w:t>
      </w:r>
      <w:r>
        <w:t xml:space="preserve"> </w:t>
      </w:r>
      <w:r>
        <w:t xml:space="preserve">The biggest risk is a third negative surprise in a row, which would call the LRP — and the "premium med-tech grower" thesis — into serious question.</w:t>
      </w:r>
    </w:p>
    <w:p>
      <w:pPr>
        <w:pStyle w:val="BodyText"/>
      </w:pPr>
      <w:r>
        <w:rPr>
          <w:i/>
          <w:iCs/>
        </w:rPr>
        <w:t xml:space="preserve">Note: This preview is based on company filings, transcripts, and market data through July 28, 2026, and is for informational purposes only — not investment advice.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2026-07-29T00:05:12Z</dcterms:created>
  <dcterms:modified xsi:type="dcterms:W3CDTF">2026-07-29T00:05:12Z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