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sx-earnings-predictions--2026-07-29"/>
    <w:p>
      <w:pPr>
        <w:pStyle w:val="Heading1"/>
      </w:pPr>
      <w:r>
        <w:t xml:space="preserve">BSX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net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~5.5% vs. cons 5.3%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~$0.84 vs. cons $0.83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reported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~$5.40B vs. cons $5.39B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net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~7.0% midpoint vs. cons 7.1%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~$3.38 midpoint vs. cons $3.35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net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~6.25% midpoint vs. cons 6.6%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~$0.84 midpoint vs. cons $0.84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WATCHMAN sequential revenue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~0% vs. cons 2%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(FADE)</w:t>
            </w:r>
          </w:p>
        </w:tc>
        <w:tc>
          <w:tcPr/>
          <w:p>
            <w:pPr>
              <w:pStyle w:val="Compact"/>
            </w:pPr>
            <w:r>
              <w:t xml:space="preserve">A low-bar Q2 beat and preservation of FY2026 EPS should trigger a relief rally, but Q3 organic growth below consensus and another quarter of roughly flat sequential WATCHMAN revenue would pull out-period revenue estimates lower and partially reverse the day-1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2026-07-29T00:07:53Z</dcterms:created>
  <dcterms:modified xsi:type="dcterms:W3CDTF">2026-07-29T00:07:53Z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