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49cfef763231a58051755cba324260a35097781"/>
    <w:p>
      <w:pPr>
        <w:pStyle w:val="Heading1"/>
      </w:pPr>
      <w:r>
        <w:t xml:space="preserve">Boston Scientific (BSX) — 2026 Q2 Earnings Preview</w:t>
      </w:r>
    </w:p>
    <w:p>
      <w:pPr>
        <w:pStyle w:val="FirstParagraph"/>
      </w:pPr>
      <w:r>
        <w:rPr>
          <w:b/>
          <w:bCs/>
        </w:rPr>
        <w:t xml:space="preserve">Report date:</w:t>
      </w:r>
      <w:r>
        <w:t xml:space="preserve"> </w:t>
      </w:r>
      <w:r>
        <w:t xml:space="preserve">Wednesday, July 29, 2026, before the market opens</w:t>
      </w:r>
      <w:r>
        <w:br/>
      </w:r>
      <w:r>
        <w:rPr>
          <w:b/>
          <w:bCs/>
        </w:rPr>
        <w:t xml:space="preserve">Conference call:</w:t>
      </w:r>
      <w:r>
        <w:t xml:space="preserve"> </w:t>
      </w:r>
      <w:r>
        <w:t xml:space="preserve">8:00 a.m. ET</w:t>
      </w:r>
      <w:r>
        <w:br/>
      </w:r>
      <w:r>
        <w:rPr>
          <w:b/>
          <w:bCs/>
        </w:rPr>
        <w:t xml:space="preserve">Reference period:</w:t>
      </w:r>
      <w:r>
        <w:t xml:space="preserve"> </w:t>
      </w:r>
      <w:r>
        <w:t xml:space="preserve">Quarter ended June 30, 2026</w:t>
      </w:r>
    </w:p>
    <w:bookmarkStart w:id="9" w:name="executive-view"/>
    <w:p>
      <w:pPr>
        <w:pStyle w:val="Heading2"/>
      </w:pPr>
      <w:r>
        <w:t xml:space="preserve">Executive view</w:t>
      </w:r>
    </w:p>
    <w:p>
      <w:pPr>
        <w:pStyle w:val="FirstParagraph"/>
      </w:pPr>
      <w:r>
        <w:t xml:space="preserve">This report is less about whether Boston Scientific beats Q2 consensus by a few cents and more about whether management can</w:t>
      </w:r>
      <w:r>
        <w:t xml:space="preserve"> </w:t>
      </w:r>
      <w:r>
        <w:rPr>
          <w:b/>
          <w:bCs/>
        </w:rPr>
        <w:t xml:space="preserve">stop the downward revision cycle</w:t>
      </w:r>
      <w:r>
        <w:t xml:space="preserve">.</w:t>
      </w:r>
    </w:p>
    <w:p>
      <w:pPr>
        <w:pStyle w:val="BodyText"/>
      </w:pPr>
      <w:r>
        <w:t xml:space="preserve">The stock has already undergone a severe reset as growth expectations for WATCHMAN, electrophysiology and Urology deteriorated. At the July 28 close of</w:t>
      </w:r>
      <w:r>
        <w:t xml:space="preserve"> </w:t>
      </w:r>
      <w:r>
        <w:rPr>
          <w:b/>
          <w:bCs/>
        </w:rPr>
        <w:t xml:space="preserve">$46.07</w:t>
      </w:r>
      <w:r>
        <w:t xml:space="preserve">, BSX was down approximately</w:t>
      </w:r>
      <w:r>
        <w:t xml:space="preserve"> </w:t>
      </w:r>
      <w:r>
        <w:rPr>
          <w:b/>
          <w:bCs/>
        </w:rPr>
        <w:t xml:space="preserve">51% from January 2</w:t>
      </w:r>
      <w:r>
        <w:t xml:space="preserve">, versus an 8% gain for SPY and a roughly 15% decline for the iShares U.S. Medical Devices ETF over the same period. At the current 2026 EPS consensus, the shares trade at approximately</w:t>
      </w:r>
      <w:r>
        <w:t xml:space="preserve"> </w:t>
      </w:r>
      <w:r>
        <w:rPr>
          <w:b/>
          <w:bCs/>
        </w:rPr>
        <w:t xml:space="preserve">13.8x forward earnings</w:t>
      </w:r>
      <w:r>
        <w:t xml:space="preserve">.</w:t>
      </w:r>
    </w:p>
    <w:p>
      <w:pPr>
        <w:pStyle w:val="BodyText"/>
      </w:pPr>
      <w:r>
        <w:t xml:space="preserve">That valuation leaves room for a recovery, but only if investors can gain confidence that:</w:t>
      </w:r>
    </w:p>
    <w:p>
      <w:pPr>
        <w:pStyle w:val="Compact"/>
        <w:numPr>
          <w:ilvl w:val="0"/>
          <w:numId w:val="1001"/>
        </w:numPr>
      </w:pPr>
      <w:r>
        <w:t xml:space="preserve">WATCHMAN revenue is stabilizing;</w:t>
      </w:r>
    </w:p>
    <w:p>
      <w:pPr>
        <w:pStyle w:val="Compact"/>
        <w:numPr>
          <w:ilvl w:val="0"/>
          <w:numId w:val="1001"/>
        </w:numPr>
      </w:pPr>
      <w:r>
        <w:t xml:space="preserve">FARAPULSE share losses are manageable;</w:t>
      </w:r>
    </w:p>
    <w:p>
      <w:pPr>
        <w:pStyle w:val="Compact"/>
        <w:numPr>
          <w:ilvl w:val="0"/>
          <w:numId w:val="1001"/>
        </w:numPr>
      </w:pPr>
      <w:r>
        <w:t xml:space="preserve">Urology is beginning to improve;</w:t>
      </w:r>
    </w:p>
    <w:p>
      <w:pPr>
        <w:pStyle w:val="Compact"/>
        <w:numPr>
          <w:ilvl w:val="0"/>
          <w:numId w:val="1001"/>
        </w:numPr>
      </w:pPr>
      <w:r>
        <w:t xml:space="preserve">margin targets remain intact; and</w:t>
      </w:r>
    </w:p>
    <w:p>
      <w:pPr>
        <w:pStyle w:val="Compact"/>
        <w:numPr>
          <w:ilvl w:val="0"/>
          <w:numId w:val="1001"/>
        </w:numPr>
      </w:pPr>
      <w:r>
        <w:t xml:space="preserve">the new restructuring plan is an efficiency program—not evidence of another material demand reset.</w:t>
      </w:r>
    </w:p>
    <w:bookmarkEnd w:id="9"/>
    <w:bookmarkStart w:id="11" w:name="expectations-heading-into-the-report"/>
    <w:p>
      <w:pPr>
        <w:pStyle w:val="Heading2"/>
      </w:pPr>
      <w:r>
        <w:t xml:space="preserve">Expectations heading into the report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Company’s Q2 guidance</w:t>
            </w:r>
          </w:p>
        </w:tc>
        <w:tc>
          <w:tcPr/>
          <w:p>
            <w:pPr>
              <w:pStyle w:val="Compact"/>
              <w:jc w:val="right"/>
            </w:pPr>
            <w:r>
              <w:t xml:space="preserve">Current Street expectation</w:t>
            </w:r>
          </w:p>
        </w:tc>
        <w:tc>
          <w:tcPr/>
          <w:p>
            <w:pPr>
              <w:pStyle w:val="Compact"/>
            </w:pPr>
            <w:r>
              <w:t xml:space="preserve">What matters</w:t>
            </w:r>
          </w:p>
        </w:tc>
      </w:tr>
      <w:tr>
        <w:tc>
          <w:tcPr/>
          <w:p>
            <w:pPr>
              <w:pStyle w:val="Compact"/>
            </w:pPr>
            <w:r>
              <w:t xml:space="preserve">Reported revenue growth</w:t>
            </w:r>
          </w:p>
        </w:tc>
        <w:tc>
          <w:tcPr/>
          <w:p>
            <w:pPr>
              <w:pStyle w:val="Compact"/>
              <w:jc w:val="right"/>
            </w:pPr>
            <w:r>
              <w:t xml:space="preserve">5.5%–7.5%</w:t>
            </w:r>
          </w:p>
        </w:tc>
        <w:tc>
          <w:tcPr/>
          <w:p>
            <w:pPr>
              <w:pStyle w:val="Compact"/>
              <w:jc w:val="right"/>
            </w:pPr>
            <w:r>
              <w:t xml:space="preserve">Approximately 6%–7%</w:t>
            </w:r>
          </w:p>
        </w:tc>
        <w:tc>
          <w:tcPr/>
          <w:p>
            <w:pPr>
              <w:pStyle w:val="Compact"/>
            </w:pPr>
            <w:r>
              <w:t xml:space="preserve">The midpoint implies revenue near $5.39B</w:t>
            </w:r>
          </w:p>
        </w:tc>
      </w:tr>
      <w:tr>
        <w:tc>
          <w:tcPr/>
          <w:p>
            <w:pPr>
              <w:pStyle w:val="Compact"/>
            </w:pPr>
            <w:r>
              <w:t xml:space="preserve">Implied revenue</w:t>
            </w:r>
          </w:p>
        </w:tc>
        <w:tc>
          <w:tcPr/>
          <w:p>
            <w:pPr>
              <w:pStyle w:val="Compact"/>
              <w:jc w:val="right"/>
            </w:pPr>
            <m:oMath>
              <m:r>
                <m:t>5.34</m:t>
              </m:r>
              <m:r>
                <m:t>B</m:t>
              </m:r>
              <m:r>
                <m:rPr>
                  <m:sty m:val="p"/>
                </m:rPr>
                <m:t>–</m:t>
              </m:r>
            </m:oMath>
            <w:r>
              <w:t xml:space="preserve">5.44B</w:t>
            </w:r>
          </w:p>
        </w:tc>
        <w:tc>
          <w:tcPr/>
          <w:p>
            <w:pPr>
              <w:pStyle w:val="Compact"/>
              <w:jc w:val="right"/>
            </w:pPr>
            <w:r>
              <w:t xml:space="preserve">Approximately $5.39B</w:t>
            </w:r>
          </w:p>
        </w:tc>
        <w:tc>
          <w:tcPr/>
          <w:p>
            <w:pPr>
              <w:pStyle w:val="Compact"/>
            </w:pPr>
            <w:r>
              <w:t xml:space="preserve">A beat without constructive guidance may not be enough</w:t>
            </w:r>
          </w:p>
        </w:tc>
      </w:tr>
      <w:tr>
        <w:tc>
          <w:tcPr/>
          <w:p>
            <w:pPr>
              <w:pStyle w:val="Compact"/>
            </w:pPr>
            <w:r>
              <w:t xml:space="preserve">Organic growth</w:t>
            </w:r>
          </w:p>
        </w:tc>
        <w:tc>
          <w:tcPr/>
          <w:p>
            <w:pPr>
              <w:pStyle w:val="Compact"/>
              <w:jc w:val="right"/>
            </w:pPr>
            <w:r>
              <w:t xml:space="preserve">5.0%–7.0%</w:t>
            </w:r>
          </w:p>
        </w:tc>
        <w:tc>
          <w:tcPr/>
          <w:p>
            <w:pPr>
              <w:pStyle w:val="Compact"/>
              <w:jc w:val="right"/>
            </w:pPr>
            <w:r>
              <w:t xml:space="preserve">Near the lower end of guidance</w:t>
            </w:r>
          </w:p>
        </w:tc>
        <w:tc>
          <w:tcPr/>
          <w:p>
            <w:pPr>
              <w:pStyle w:val="Compact"/>
            </w:pPr>
            <w:r>
              <w:t xml:space="preserve">Mix among WATCHMAN, EP and the rest of the portfolio is critical</w:t>
            </w:r>
          </w:p>
        </w:tc>
      </w:tr>
      <w:tr>
        <w:tc>
          <w:tcPr/>
          <w:p>
            <w:pPr>
              <w:pStyle w:val="Compact"/>
            </w:pPr>
            <w:r>
              <w:t xml:space="preserve">Adjusted EPS</w:t>
            </w:r>
          </w:p>
        </w:tc>
        <w:tc>
          <w:tcPr/>
          <w:p>
            <w:pPr>
              <w:pStyle w:val="Compact"/>
              <w:jc w:val="right"/>
            </w:pPr>
            <m:oMath>
              <m:r>
                <m:t>0.82</m:t>
              </m:r>
              <m:r>
                <m:rPr>
                  <m:sty m:val="p"/>
                </m:rPr>
                <m:t>–</m:t>
              </m:r>
            </m:oMath>
            <w:r>
              <w:t xml:space="preserve">0.84</w:t>
            </w:r>
          </w:p>
        </w:tc>
        <w:tc>
          <w:tcPr/>
          <w:p>
            <w:pPr>
              <w:pStyle w:val="Compact"/>
              <w:jc w:val="right"/>
            </w:pPr>
            <w:r>
              <w:t xml:space="preserve">$0.83</w:t>
            </w:r>
          </w:p>
        </w:tc>
        <w:tc>
          <w:tcPr/>
          <w:p>
            <w:pPr>
              <w:pStyle w:val="Compact"/>
            </w:pPr>
            <w:r>
              <w:t xml:space="preserve">Roughly 11% year-over-year growth at consensus</w:t>
            </w:r>
          </w:p>
        </w:tc>
      </w:tr>
      <w:tr>
        <w:tc>
          <w:tcPr/>
          <w:p>
            <w:pPr>
              <w:pStyle w:val="Compact"/>
            </w:pPr>
            <w:r>
              <w:t xml:space="preserve">FY26 organic growth</w:t>
            </w:r>
          </w:p>
        </w:tc>
        <w:tc>
          <w:tcPr/>
          <w:p>
            <w:pPr>
              <w:pStyle w:val="Compact"/>
              <w:jc w:val="right"/>
            </w:pPr>
            <w:r>
              <w:t xml:space="preserve">6.5%–8.0%</w:t>
            </w:r>
          </w:p>
        </w:tc>
        <w:tc>
          <w:tcPr/>
          <w:p>
            <w:pPr>
              <w:pStyle w:val="Compact"/>
              <w:jc w:val="right"/>
            </w:pPr>
            <w:r>
              <w:t xml:space="preserve">—</w:t>
            </w:r>
          </w:p>
        </w:tc>
        <w:tc>
          <w:tcPr/>
          <w:p>
            <w:pPr>
              <w:pStyle w:val="Compact"/>
            </w:pPr>
            <w:r>
              <w:t xml:space="preserve">Maintaining the range is necessary; the midpoint may be difficult to defend</w:t>
            </w:r>
          </w:p>
        </w:tc>
      </w:tr>
      <w:tr>
        <w:tc>
          <w:tcPr/>
          <w:p>
            <w:pPr>
              <w:pStyle w:val="Compact"/>
            </w:pPr>
            <w:r>
              <w:t xml:space="preserve">FY26 adjusted EPS</w:t>
            </w:r>
          </w:p>
        </w:tc>
        <w:tc>
          <w:tcPr/>
          <w:p>
            <w:pPr>
              <w:pStyle w:val="Compact"/>
              <w:jc w:val="right"/>
            </w:pPr>
            <m:oMath>
              <m:r>
                <m:t>3.34</m:t>
              </m:r>
              <m:r>
                <m:rPr>
                  <m:sty m:val="p"/>
                </m:rPr>
                <m:t>–</m:t>
              </m:r>
            </m:oMath>
            <w:r>
              <w:t xml:space="preserve">3.41</w:t>
            </w:r>
          </w:p>
        </w:tc>
        <w:tc>
          <w:tcPr/>
          <w:p>
            <w:pPr>
              <w:pStyle w:val="Compact"/>
              <w:jc w:val="right"/>
            </w:pPr>
            <w:r>
              <w:t xml:space="preserve">Approximately $3.35</w:t>
            </w:r>
          </w:p>
        </w:tc>
        <w:tc>
          <w:tcPr/>
          <w:p>
            <w:pPr>
              <w:pStyle w:val="Compact"/>
            </w:pPr>
            <w:r>
              <w:t xml:space="preserve">Consensus sits close to the bottom of the range</w:t>
            </w:r>
          </w:p>
        </w:tc>
      </w:tr>
    </w:tbl>
    <w:p>
      <w:pPr>
        <w:pStyle w:val="BodyText"/>
      </w:pPr>
      <w:r>
        <w:t xml:space="preserve">Boston Scientific’s Q2 guidance implies reported sales of roughly</w:t>
      </w:r>
      <w:r>
        <w:t xml:space="preserve"> </w:t>
      </w:r>
      <w:r>
        <w:rPr>
          <w:b/>
          <w:bCs/>
        </w:rPr>
        <w:t xml:space="preserve">$5.34 billion to $5.44 billion</w:t>
      </w:r>
      <w:r>
        <w:t xml:space="preserve">, based on Q2 2025 revenue of</w:t>
      </w:r>
      <w:r>
        <w:t xml:space="preserve"> </w:t>
      </w:r>
      <m:oMath>
        <m:r>
          <m:t>5.061</m:t>
        </m:r>
        <m:r>
          <m:t>b</m:t>
        </m:r>
        <m:r>
          <m:t>i</m:t>
        </m:r>
        <m:r>
          <m:t>l</m:t>
        </m:r>
        <m:r>
          <m:t>l</m:t>
        </m:r>
        <m:r>
          <m:t>i</m:t>
        </m:r>
        <m:r>
          <m:t>o</m:t>
        </m:r>
        <m:r>
          <m:t>n</m:t>
        </m:r>
        <m:r>
          <m:rPr>
            <m:sty m:val="p"/>
          </m:rPr>
          <m:t>.</m:t>
        </m:r>
        <m:r>
          <m:t>P</m:t>
        </m:r>
        <m:r>
          <m:t>u</m:t>
        </m:r>
        <m:r>
          <m:t>b</m:t>
        </m:r>
        <m:r>
          <m:t>l</m:t>
        </m:r>
        <m:r>
          <m:t>i</m:t>
        </m:r>
        <m:r>
          <m:t>s</m:t>
        </m:r>
        <m:r>
          <m:t>h</m:t>
        </m:r>
        <m:r>
          <m:t>e</m:t>
        </m:r>
        <m:r>
          <m:t>d</m:t>
        </m:r>
        <m:r>
          <m:t>c</m:t>
        </m:r>
        <m:r>
          <m:t>o</m:t>
        </m:r>
        <m:r>
          <m:t>n</m:t>
        </m:r>
        <m:r>
          <m:t>s</m:t>
        </m:r>
        <m:r>
          <m:t>e</m:t>
        </m:r>
        <m:r>
          <m:t>n</m:t>
        </m:r>
        <m:r>
          <m:t>s</m:t>
        </m:r>
        <m:r>
          <m:t>u</m:t>
        </m:r>
        <m:r>
          <m:t>s</m:t>
        </m:r>
        <m:r>
          <m:t>e</m:t>
        </m:r>
        <m:r>
          <m:t>s</m:t>
        </m:r>
        <m:r>
          <m:t>t</m:t>
        </m:r>
        <m:r>
          <m:t>i</m:t>
        </m:r>
        <m:r>
          <m:t>m</m:t>
        </m:r>
        <m:r>
          <m:t>a</m:t>
        </m:r>
        <m:r>
          <m:t>t</m:t>
        </m:r>
        <m:r>
          <m:t>e</m:t>
        </m:r>
        <m:r>
          <m:t>s</m:t>
        </m:r>
        <m:r>
          <m:t>c</m:t>
        </m:r>
        <m:r>
          <m:t>l</m:t>
        </m:r>
        <m:r>
          <m:t>u</m:t>
        </m:r>
        <m:r>
          <m:t>s</m:t>
        </m:r>
        <m:r>
          <m:t>t</m:t>
        </m:r>
        <m:r>
          <m:t>e</m:t>
        </m:r>
        <m:r>
          <m:t>r</m:t>
        </m:r>
        <m:r>
          <m:t>a</m:t>
        </m:r>
        <m:r>
          <m:t>r</m:t>
        </m:r>
        <m:r>
          <m:t>o</m:t>
        </m:r>
        <m:r>
          <m:t>u</m:t>
        </m:r>
        <m:r>
          <m:t>n</m:t>
        </m:r>
        <m:r>
          <m:t>d</m:t>
        </m:r>
        <m:r>
          <m:rPr>
            <m:sty m:val="p"/>
          </m:rPr>
          <m:t>*</m:t>
        </m:r>
        <m:r>
          <m:rPr>
            <m:sty m:val="p"/>
          </m:rPr>
          <m:t>*</m:t>
        </m:r>
      </m:oMath>
      <w:r>
        <w:t xml:space="preserve">5.39 billion and $0.83 of adjusted EPS**. (</w:t>
      </w:r>
      <w:hyperlink r:id="rId10">
        <w:r>
          <w:rPr>
            <w:rStyle w:val="Hyperlink"/>
          </w:rPr>
          <w:t xml:space="preserve">sec.gov</w:t>
        </w:r>
      </w:hyperlink>
      <w:r>
        <w:t xml:space="preserve">)</w:t>
      </w:r>
    </w:p>
    <w:bookmarkEnd w:id="11"/>
    <w:bookmarkStart w:id="14" w:name="the-central-issue-watchman-stabilization"/>
    <w:p>
      <w:pPr>
        <w:pStyle w:val="Heading2"/>
      </w:pPr>
      <w:r>
        <w:t xml:space="preserve">The central issue: WATCHMAN stabilization</w:t>
      </w:r>
    </w:p>
    <w:p>
      <w:pPr>
        <w:pStyle w:val="FirstParagraph"/>
      </w:pPr>
      <w:r>
        <w:t xml:space="preserve">WATCHMAN is likely to be the most important topic on the call.</w:t>
      </w:r>
    </w:p>
    <w:p>
      <w:pPr>
        <w:pStyle w:val="BodyText"/>
      </w:pPr>
      <w:r>
        <w:t xml:space="preserve">In Q1, WATCHMAN grew 19% organically, but that was below management’s expectations. The company attributed the slowdown to weaker stand-alone procedures, hospital-capacity and workflow constraints, reimbursement dynamics, and a shift toward concomitant procedures performed alongside AF ablations. Management reduced its full-year outlook to mid-teens global WATCHMAN growth and low-to-mid-teens U.S. growth. Boston Scientific nevertheless continues to view CHAMPION-AF data, physician education and longer-term expansion of concomitant use as supports for the franchise. (</w:t>
      </w:r>
      <w:hyperlink r:id="rId10">
        <w:r>
          <w:rPr>
            <w:rStyle w:val="Hyperlink"/>
          </w:rPr>
          <w:t xml:space="preserve">sec.gov</w:t>
        </w:r>
      </w:hyperlink>
      <w:r>
        <w:t xml:space="preserve">)</w:t>
      </w:r>
    </w:p>
    <w:p>
      <w:pPr>
        <w:pStyle w:val="BodyText"/>
      </w:pPr>
      <w:r>
        <w:t xml:space="preserve">The problem is that conditions apparently weakened after the Q1 call. At the May 27 Bernstein conference, CEO Mike Mahoney said declining stand-alone WATCHMAN use would likely produce</w:t>
      </w:r>
      <w:r>
        <w:t xml:space="preserve"> </w:t>
      </w:r>
      <w:r>
        <w:rPr>
          <w:b/>
          <w:bCs/>
        </w:rPr>
        <w:t xml:space="preserve">flat sequential WATCHMAN revenue in both Q2 and Q3</w:t>
      </w:r>
      <w:r>
        <w:t xml:space="preserve">, despite growth in concomitant procedures. (</w:t>
      </w:r>
      <w:hyperlink r:id="rId12">
        <w:r>
          <w:rPr>
            <w:rStyle w:val="Hyperlink"/>
          </w:rPr>
          <w:t xml:space="preserve">earningscalls.dev</w:t>
        </w:r>
      </w:hyperlink>
      <w:r>
        <w:t xml:space="preserve">)</w:t>
      </w:r>
    </w:p>
    <w:bookmarkStart w:id="13" w:name="what-investors-need-to-hear"/>
    <w:p>
      <w:pPr>
        <w:pStyle w:val="Heading3"/>
      </w:pPr>
      <w:r>
        <w:t xml:space="preserve">What investors need to hear</w:t>
      </w:r>
    </w:p>
    <w:p>
      <w:pPr>
        <w:pStyle w:val="FirstParagraph"/>
      </w:pPr>
      <w:r>
        <w:t xml:space="preserve">A satisfactory update would include:</w:t>
      </w:r>
    </w:p>
    <w:p>
      <w:pPr>
        <w:pStyle w:val="Compact"/>
        <w:numPr>
          <w:ilvl w:val="0"/>
          <w:numId w:val="1002"/>
        </w:numPr>
      </w:pPr>
      <w:r>
        <w:t xml:space="preserve">Q2 WATCHMAN revenue at least in line with the flat sequential framework;</w:t>
      </w:r>
    </w:p>
    <w:p>
      <w:pPr>
        <w:pStyle w:val="Compact"/>
        <w:numPr>
          <w:ilvl w:val="0"/>
          <w:numId w:val="1002"/>
        </w:numPr>
      </w:pPr>
      <w:r>
        <w:t xml:space="preserve">no further deterioration in June or early July procedure trends;</w:t>
      </w:r>
    </w:p>
    <w:p>
      <w:pPr>
        <w:pStyle w:val="Compact"/>
        <w:numPr>
          <w:ilvl w:val="0"/>
          <w:numId w:val="1002"/>
        </w:numPr>
      </w:pPr>
      <w:r>
        <w:t xml:space="preserve">measurable traction from dedicated WATCHMAN sales specialists and physician-education programs;</w:t>
      </w:r>
    </w:p>
    <w:p>
      <w:pPr>
        <w:pStyle w:val="Compact"/>
        <w:numPr>
          <w:ilvl w:val="0"/>
          <w:numId w:val="1002"/>
        </w:numPr>
      </w:pPr>
      <w:r>
        <w:t xml:space="preserve">evidence that concomitant growth is beginning to offset stand-alone weakness;</w:t>
      </w:r>
    </w:p>
    <w:p>
      <w:pPr>
        <w:pStyle w:val="Compact"/>
        <w:numPr>
          <w:ilvl w:val="0"/>
          <w:numId w:val="1002"/>
        </w:numPr>
      </w:pPr>
      <w:r>
        <w:t xml:space="preserve">a credible path back to year-over-year acceleration in late 2026 or 2027; and</w:t>
      </w:r>
    </w:p>
    <w:p>
      <w:pPr>
        <w:pStyle w:val="Compact"/>
        <w:numPr>
          <w:ilvl w:val="0"/>
          <w:numId w:val="1002"/>
        </w:numPr>
      </w:pPr>
      <w:r>
        <w:t xml:space="preserve">progress toward a label, guideline or reimbursement expansion based on CHAMPION-AF.</w:t>
      </w:r>
    </w:p>
    <w:p>
      <w:pPr>
        <w:pStyle w:val="FirstParagraph"/>
      </w:pPr>
      <w:r>
        <w:t xml:space="preserve">The biggest downside risk would be management indicating that WATCHMAN remains below the May framework or that flat sequential revenue could persist beyond Q3.</w:t>
      </w:r>
    </w:p>
    <w:bookmarkEnd w:id="13"/>
    <w:bookmarkEnd w:id="14"/>
    <w:bookmarkStart w:id="16" w:name="X957c4c68a93ba42383d5722c82af678e9d32223"/>
    <w:p>
      <w:pPr>
        <w:pStyle w:val="Heading2"/>
      </w:pPr>
      <w:r>
        <w:t xml:space="preserve">FARAPULSE and electrophysiology: growth is not the same as share stability</w:t>
      </w:r>
    </w:p>
    <w:p>
      <w:pPr>
        <w:pStyle w:val="FirstParagraph"/>
      </w:pPr>
      <w:r>
        <w:t xml:space="preserve">Boston Scientific’s electrophysiology business grew 22% organically in Q1, including 18% in the U.S. and 30% internationally. However, management acknowledged greater-than-expected PFA share loss as Medtronic, Johnson &amp; Johnson and Abbott expanded their competitive footprints.</w:t>
      </w:r>
    </w:p>
    <w:p>
      <w:pPr>
        <w:pStyle w:val="BodyText"/>
      </w:pPr>
      <w:r>
        <w:t xml:space="preserve">As a result, BSX lowered its 2026 global EP growth expectation to approximately 10%, including mid-single-digit U.S. growth and more than 20% international growth. The implied outlook after Q1 was only mid-to-high-single-digit global growth for the rest of 2026 and roughly flat to low-single-digit U.S. growth.</w:t>
      </w:r>
    </w:p>
    <w:bookmarkStart w:id="15" w:name="key-q2-questions"/>
    <w:p>
      <w:pPr>
        <w:pStyle w:val="Heading3"/>
      </w:pPr>
      <w:r>
        <w:t xml:space="preserve">Key Q2 questions</w:t>
      </w:r>
    </w:p>
    <w:p>
      <w:pPr>
        <w:pStyle w:val="Compact"/>
        <w:numPr>
          <w:ilvl w:val="0"/>
          <w:numId w:val="1003"/>
        </w:numPr>
      </w:pPr>
      <w:r>
        <w:t xml:space="preserve">Did U.S. EP remain approximately flat sequentially, or did competitive pressure intensify?</w:t>
      </w:r>
    </w:p>
    <w:p>
      <w:pPr>
        <w:pStyle w:val="Compact"/>
        <w:numPr>
          <w:ilvl w:val="0"/>
          <w:numId w:val="1003"/>
        </w:numPr>
      </w:pPr>
      <w:r>
        <w:t xml:space="preserve">Is Boston Scientific retaining PFA leadership despite losing share?</w:t>
      </w:r>
    </w:p>
    <w:p>
      <w:pPr>
        <w:pStyle w:val="Compact"/>
        <w:numPr>
          <w:ilvl w:val="0"/>
          <w:numId w:val="1003"/>
        </w:numPr>
      </w:pPr>
      <w:r>
        <w:t xml:space="preserve">Are OPAL mapping installations and FARAPOINT catheter utilization improving account retention?</w:t>
      </w:r>
    </w:p>
    <w:p>
      <w:pPr>
        <w:pStyle w:val="Compact"/>
        <w:numPr>
          <w:ilvl w:val="0"/>
          <w:numId w:val="1003"/>
        </w:numPr>
      </w:pPr>
      <w:r>
        <w:t xml:space="preserve">Is international strength continuing to offset the weaker U.S. trajectory?</w:t>
      </w:r>
    </w:p>
    <w:p>
      <w:pPr>
        <w:pStyle w:val="Compact"/>
        <w:numPr>
          <w:ilvl w:val="0"/>
          <w:numId w:val="1003"/>
        </w:numPr>
      </w:pPr>
      <w:r>
        <w:t xml:space="preserve">Has the company changed the expected timing of FARAWAVE Ultra or other next-generation products?</w:t>
      </w:r>
    </w:p>
    <w:p>
      <w:pPr>
        <w:pStyle w:val="FirstParagraph"/>
      </w:pPr>
      <w:r>
        <w:t xml:space="preserve">A strong absolute EP growth number may not satisfy investors if it still implies substantial share loss. Conversely, even modest evidence of U.S. stabilization could be meaningful given the stock’s reset.</w:t>
      </w:r>
    </w:p>
    <w:bookmarkEnd w:id="15"/>
    <w:bookmarkEnd w:id="16"/>
    <w:bookmarkStart w:id="18" w:name="Xf73f6ca2a05738a36c44bcc03292ba3f6b007e4"/>
    <w:p>
      <w:pPr>
        <w:pStyle w:val="Heading2"/>
      </w:pPr>
      <w:r>
        <w:t xml:space="preserve">Urology: the expected recovery needs to become visible</w:t>
      </w:r>
    </w:p>
    <w:p>
      <w:pPr>
        <w:pStyle w:val="FirstParagraph"/>
      </w:pPr>
      <w:r>
        <w:t xml:space="preserve">Urology was the weakest major business in Q1, growing only</w:t>
      </w:r>
      <w:r>
        <w:t xml:space="preserve"> </w:t>
      </w:r>
      <w:r>
        <w:rPr>
          <w:b/>
          <w:bCs/>
        </w:rPr>
        <w:t xml:space="preserve">0.5% organically</w:t>
      </w:r>
      <w:r>
        <w:t xml:space="preserve">. Management cited problems in stone management, China volume-based procurement, product gaps and commercial disruption in sacral neuromodulation following the Axonics integration. Q1 organic growth across the other MedSurg businesses was substantially better: Endoscopy grew 6.8% and Neuromodulation 15.4%. (</w:t>
      </w:r>
      <w:hyperlink r:id="rId17">
        <w:r>
          <w:rPr>
            <w:rStyle w:val="Hyperlink"/>
          </w:rPr>
          <w:t xml:space="preserve">news.bostonscientific.com</w:t>
        </w:r>
      </w:hyperlink>
      <w:r>
        <w:t xml:space="preserve">)</w:t>
      </w:r>
    </w:p>
    <w:p>
      <w:pPr>
        <w:pStyle w:val="BodyText"/>
      </w:pPr>
      <w:r>
        <w:t xml:space="preserve">Management expected Urology to improve through the year but reduced its full-year outlook to low-to-mid-single-digit growth. Nearly 100 sales and clinical representatives had been hired or were in training at the time of the Q1 call, while products such as Asurys, LithoVue Elite, eCoin and a planned slim ureteroscope were expected to help the franchise.</w:t>
      </w:r>
    </w:p>
    <w:p>
      <w:pPr>
        <w:pStyle w:val="BodyText"/>
      </w:pPr>
      <w:r>
        <w:t xml:space="preserve">For Q2, investors should look for:</w:t>
      </w:r>
    </w:p>
    <w:p>
      <w:pPr>
        <w:pStyle w:val="Compact"/>
        <w:numPr>
          <w:ilvl w:val="0"/>
          <w:numId w:val="1004"/>
        </w:numPr>
      </w:pPr>
      <w:r>
        <w:t xml:space="preserve">sequential improvement from Q1’s roughly flat organic result;</w:t>
      </w:r>
    </w:p>
    <w:p>
      <w:pPr>
        <w:pStyle w:val="Compact"/>
        <w:numPr>
          <w:ilvl w:val="0"/>
          <w:numId w:val="1004"/>
        </w:numPr>
      </w:pPr>
      <w:r>
        <w:t xml:space="preserve">reduced turnover and better case coverage in sacral neuromodulation;</w:t>
      </w:r>
    </w:p>
    <w:p>
      <w:pPr>
        <w:pStyle w:val="Compact"/>
        <w:numPr>
          <w:ilvl w:val="0"/>
          <w:numId w:val="1004"/>
        </w:numPr>
      </w:pPr>
      <w:r>
        <w:t xml:space="preserve">evidence that new commercial hires are becoming productive;</w:t>
      </w:r>
    </w:p>
    <w:p>
      <w:pPr>
        <w:pStyle w:val="Compact"/>
        <w:numPr>
          <w:ilvl w:val="0"/>
          <w:numId w:val="1004"/>
        </w:numPr>
      </w:pPr>
      <w:r>
        <w:t xml:space="preserve">progress in the stone-management portfolio; and</w:t>
      </w:r>
    </w:p>
    <w:p>
      <w:pPr>
        <w:pStyle w:val="Compact"/>
        <w:numPr>
          <w:ilvl w:val="0"/>
          <w:numId w:val="1004"/>
        </w:numPr>
      </w:pPr>
      <w:r>
        <w:t xml:space="preserve">confirmation that Urology can approach market growth in 2027.</w:t>
      </w:r>
    </w:p>
    <w:p>
      <w:pPr>
        <w:pStyle w:val="FirstParagraph"/>
      </w:pPr>
      <w:r>
        <w:t xml:space="preserve">Another roughly flat quarter would raise questions about whether the issue is more structural than a temporary commercial disruption.</w:t>
      </w:r>
    </w:p>
    <w:bookmarkEnd w:id="18"/>
    <w:bookmarkStart w:id="21" w:name="X8a09a8160ae1004b49463a663e3d60b4faafc17"/>
    <w:p>
      <w:pPr>
        <w:pStyle w:val="Heading2"/>
      </w:pPr>
      <w:r>
        <w:t xml:space="preserve">Margins and the newly announced restructuring plan</w:t>
      </w:r>
    </w:p>
    <w:p>
      <w:pPr>
        <w:pStyle w:val="FirstParagraph"/>
      </w:pPr>
      <w:r>
        <w:t xml:space="preserve">Q1 adjusted gross margin was 70.5%, down approximately 100 basis points year over year, reflecting tariffs, POLARx discontinuation costs, weaker product mix and supply-chain investments. Management nevertheless maintained its target for</w:t>
      </w:r>
      <w:r>
        <w:t xml:space="preserve"> </w:t>
      </w:r>
      <w:r>
        <w:rPr>
          <w:b/>
          <w:bCs/>
        </w:rPr>
        <w:t xml:space="preserve">50–75 basis points of full-year adjusted operating-margin expansion</w:t>
      </w:r>
      <w:r>
        <w:t xml:space="preserve">, while expecting adjusted gross margin to finish slightly below 2025.</w:t>
      </w:r>
    </w:p>
    <w:p>
      <w:pPr>
        <w:pStyle w:val="BodyText"/>
      </w:pPr>
      <w:r>
        <w:t xml:space="preserve">Two days before earnings, Boston Scientific disclosed a new global restructuring program covering supply-chain optimization, manufacturing transfers, functional transformation and organizational changes. The program is expected to run through 2029, involve some headcount reductions, generate</w:t>
      </w:r>
      <w:r>
        <w:t xml:space="preserve"> </w:t>
      </w:r>
      <m:oMath>
        <m:r>
          <m:t>700</m:t>
        </m:r>
        <m:r>
          <m:rPr>
            <m:sty m:val="p"/>
          </m:rPr>
          <m:t>–</m:t>
        </m:r>
        <m:r>
          <m:t>800</m:t>
        </m:r>
        <m:r>
          <m:t>m</m:t>
        </m:r>
        <m:r>
          <m:t>i</m:t>
        </m:r>
        <m:r>
          <m:t>l</m:t>
        </m:r>
        <m:r>
          <m:t>l</m:t>
        </m:r>
        <m:r>
          <m:t>i</m:t>
        </m:r>
        <m:r>
          <m:t>o</m:t>
        </m:r>
        <m:r>
          <m:t>n</m:t>
        </m:r>
        <m:r>
          <m:t>o</m:t>
        </m:r>
        <m:r>
          <m:t>f</m:t>
        </m:r>
        <m:r>
          <m:t>p</m:t>
        </m:r>
        <m:r>
          <m:t>r</m:t>
        </m:r>
        <m:r>
          <m:t>e</m:t>
        </m:r>
        <m:r>
          <m:rPr>
            <m:sty m:val="p"/>
          </m:rPr>
          <m:t>−</m:t>
        </m:r>
        <m:r>
          <m:t>t</m:t>
        </m:r>
        <m:r>
          <m:t>a</m:t>
        </m:r>
        <m:r>
          <m:t>x</m:t>
        </m:r>
        <m:r>
          <m:t>c</m:t>
        </m:r>
        <m:r>
          <m:t>h</m:t>
        </m:r>
        <m:r>
          <m:t>a</m:t>
        </m:r>
        <m:r>
          <m:t>r</m:t>
        </m:r>
        <m:r>
          <m:t>g</m:t>
        </m:r>
        <m:r>
          <m:t>e</m:t>
        </m:r>
        <m:r>
          <m:t>s</m:t>
        </m:r>
        <m:r>
          <m:rPr>
            <m:sty m:val="p"/>
          </m:rPr>
          <m:t>*</m:t>
        </m:r>
        <m:r>
          <m:rPr>
            <m:sty m:val="p"/>
          </m:rPr>
          <m:t>*</m:t>
        </m:r>
        <m:r>
          <m:rPr>
            <m:sty m:val="p"/>
          </m:rPr>
          <m:t>,</m:t>
        </m:r>
        <m:r>
          <m:t>r</m:t>
        </m:r>
        <m:r>
          <m:t>e</m:t>
        </m:r>
        <m:r>
          <m:t>q</m:t>
        </m:r>
        <m:r>
          <m:t>u</m:t>
        </m:r>
        <m:r>
          <m:t>i</m:t>
        </m:r>
        <m:r>
          <m:t>r</m:t>
        </m:r>
        <m:r>
          <m:t>e</m:t>
        </m:r>
        <m:r>
          <m:rPr>
            <m:sty m:val="p"/>
          </m:rPr>
          <m:t>*</m:t>
        </m:r>
        <m:r>
          <m:rPr>
            <m:sty m:val="p"/>
          </m:rPr>
          <m:t>*</m:t>
        </m:r>
      </m:oMath>
      <w:r>
        <w:rPr>
          <w:b/>
          <w:bCs/>
        </w:rPr>
        <w:t xml:space="preserve">600–700 million of cash outlays</w:t>
      </w:r>
      <w:r>
        <w:t xml:space="preserve">, and eventually reduce gross annual pre-tax expenses by approximately</w:t>
      </w:r>
      <w:r>
        <w:t xml:space="preserve"> </w:t>
      </w:r>
      <w:r>
        <w:rPr>
          <w:b/>
          <w:bCs/>
        </w:rPr>
        <w:t xml:space="preserve">$500 million</w:t>
      </w:r>
      <w:r>
        <w:t xml:space="preserve">. Management explicitly said a substantial portion of the savings would be reinvested in growth initiatives. (</w:t>
      </w:r>
      <w:hyperlink r:id="rId19">
        <w:r>
          <w:rPr>
            <w:rStyle w:val="Hyperlink"/>
          </w:rPr>
          <w:t xml:space="preserve">sec.gov</w:t>
        </w:r>
      </w:hyperlink>
      <w:r>
        <w:t xml:space="preserve">)</w:t>
      </w:r>
    </w:p>
    <w:bookmarkStart w:id="20" w:name="what-needs-clarification"/>
    <w:p>
      <w:pPr>
        <w:pStyle w:val="Heading3"/>
      </w:pPr>
      <w:r>
        <w:t xml:space="preserve">What needs clarification</w:t>
      </w:r>
    </w:p>
    <w:p>
      <w:pPr>
        <w:pStyle w:val="FirstParagraph"/>
      </w:pPr>
      <w:r>
        <w:t xml:space="preserve">Investors should not automatically capitalize the entire $500 million as incremental earnings. The call needs to establish:</w:t>
      </w:r>
    </w:p>
    <w:p>
      <w:pPr>
        <w:pStyle w:val="Compact"/>
        <w:numPr>
          <w:ilvl w:val="0"/>
          <w:numId w:val="1005"/>
        </w:numPr>
      </w:pPr>
      <w:r>
        <w:t xml:space="preserve">when savings begin and how they ramp through 2029;</w:t>
      </w:r>
    </w:p>
    <w:p>
      <w:pPr>
        <w:pStyle w:val="Compact"/>
        <w:numPr>
          <w:ilvl w:val="0"/>
          <w:numId w:val="1005"/>
        </w:numPr>
      </w:pPr>
      <w:r>
        <w:t xml:space="preserve">how much will be retained versus reinvested;</w:t>
      </w:r>
    </w:p>
    <w:p>
      <w:pPr>
        <w:pStyle w:val="Compact"/>
        <w:numPr>
          <w:ilvl w:val="0"/>
          <w:numId w:val="1005"/>
        </w:numPr>
      </w:pPr>
      <w:r>
        <w:t xml:space="preserve">which business units and functions are most affected;</w:t>
      </w:r>
    </w:p>
    <w:p>
      <w:pPr>
        <w:pStyle w:val="Compact"/>
        <w:numPr>
          <w:ilvl w:val="0"/>
          <w:numId w:val="1005"/>
        </w:numPr>
      </w:pPr>
      <w:r>
        <w:t xml:space="preserve">whether the program changes the existing 2026 margin target;</w:t>
      </w:r>
    </w:p>
    <w:p>
      <w:pPr>
        <w:pStyle w:val="Compact"/>
        <w:numPr>
          <w:ilvl w:val="0"/>
          <w:numId w:val="1005"/>
        </w:numPr>
      </w:pPr>
      <w:r>
        <w:t xml:space="preserve">whether restructuring charges will be excluded from adjusted results;</w:t>
      </w:r>
    </w:p>
    <w:p>
      <w:pPr>
        <w:pStyle w:val="Compact"/>
        <w:numPr>
          <w:ilvl w:val="0"/>
          <w:numId w:val="1005"/>
        </w:numPr>
      </w:pPr>
      <w:r>
        <w:t xml:space="preserve">the risk of manufacturing-transfer disruptions; and</w:t>
      </w:r>
    </w:p>
    <w:p>
      <w:pPr>
        <w:pStyle w:val="Compact"/>
        <w:numPr>
          <w:ilvl w:val="0"/>
          <w:numId w:val="1005"/>
        </w:numPr>
      </w:pPr>
      <w:r>
        <w:t xml:space="preserve">whether the program reflects slower long-term revenue expectations.</w:t>
      </w:r>
    </w:p>
    <w:p>
      <w:pPr>
        <w:pStyle w:val="FirstParagraph"/>
      </w:pPr>
      <w:r>
        <w:rPr>
          <w:b/>
          <w:bCs/>
        </w:rPr>
        <w:t xml:space="preserve">Positive interpretation:</w:t>
      </w:r>
      <w:r>
        <w:t xml:space="preserve"> </w:t>
      </w:r>
      <w:r>
        <w:t xml:space="preserve">BSX is using its scale to protect margins and fund its pipeline after a revenue-growth reset.</w:t>
      </w:r>
    </w:p>
    <w:p>
      <w:pPr>
        <w:pStyle w:val="BodyText"/>
      </w:pPr>
      <w:r>
        <w:rPr>
          <w:b/>
          <w:bCs/>
        </w:rPr>
        <w:t xml:space="preserve">Negative interpretation:</w:t>
      </w:r>
      <w:r>
        <w:t xml:space="preserve"> </w:t>
      </w:r>
      <w:r>
        <w:t xml:space="preserve">The program confirms that management now expects structurally slower growth and needs significant cost action to preserve double-digit adjusted EPS growth.</w:t>
      </w:r>
    </w:p>
    <w:bookmarkEnd w:id="20"/>
    <w:bookmarkEnd w:id="21"/>
    <w:bookmarkStart w:id="24" w:name="X3d6d746e43d888d616de3cd873e2ca4b0e69747"/>
    <w:p>
      <w:pPr>
        <w:pStyle w:val="Heading2"/>
      </w:pPr>
      <w:r>
        <w:t xml:space="preserve">Full-year guidance is the real earnings-day test</w:t>
      </w:r>
    </w:p>
    <w:p>
      <w:pPr>
        <w:pStyle w:val="FirstParagraph"/>
      </w:pPr>
      <w:r>
        <w:t xml:space="preserve">At the Q1 report, management cut 2026 organic revenue guidance to</w:t>
      </w:r>
      <w:r>
        <w:t xml:space="preserve"> </w:t>
      </w:r>
      <w:r>
        <w:rPr>
          <w:b/>
          <w:bCs/>
        </w:rPr>
        <w:t xml:space="preserve">6.5%–8.0%</w:t>
      </w:r>
      <w:r>
        <w:t xml:space="preserve"> </w:t>
      </w:r>
      <w:r>
        <w:t xml:space="preserve">and adjusted EPS guidance to</w:t>
      </w:r>
      <w:r>
        <w:t xml:space="preserve"> </w:t>
      </w:r>
      <m:oMath>
        <m:r>
          <m:t>3.34</m:t>
        </m:r>
        <m:r>
          <m:rPr>
            <m:sty m:val="p"/>
          </m:rPr>
          <m:t>–</m:t>
        </m:r>
      </m:oMath>
      <w:r>
        <w:rPr>
          <w:b/>
          <w:bCs/>
        </w:rPr>
        <w:t xml:space="preserve">3.41</w:t>
      </w:r>
      <w:r>
        <w:t xml:space="preserve">, despite retaining the target for 50–75 basis points of operating-margin expansion. Q1 itself was solid—9.4% organic growth and $0.80 of adjusted EPS—but management identified WATCHMAN, EP and Urology as the three major reasons for the weaker outlook. (</w:t>
      </w:r>
      <w:hyperlink r:id="rId10">
        <w:r>
          <w:rPr>
            <w:rStyle w:val="Hyperlink"/>
          </w:rPr>
          <w:t xml:space="preserve">sec.gov</w:t>
        </w:r>
      </w:hyperlink>
      <w:r>
        <w:t xml:space="preserve">)</w:t>
      </w:r>
    </w:p>
    <w:p>
      <w:pPr>
        <w:pStyle w:val="BodyText"/>
      </w:pPr>
      <w:r>
        <w:t xml:space="preserve">The Street’s approximately $3.35 full-year EPS estimate is already near the bottom of management’s range. That suggests expectations are subdued, but it also means a reduction in the low end would likely be read as another credibility setback. (</w:t>
      </w:r>
      <w:hyperlink r:id="rId22">
        <w:r>
          <w:rPr>
            <w:rStyle w:val="Hyperlink"/>
          </w:rPr>
          <w:t xml:space="preserve">barchart.com</w:t>
        </w:r>
      </w:hyperlink>
      <w:r>
        <w:t xml:space="preserve">)</w:t>
      </w:r>
    </w:p>
    <w:bookmarkStart w:id="23" w:name="guidance-outcomes"/>
    <w:p>
      <w:pPr>
        <w:pStyle w:val="Heading3"/>
      </w:pPr>
      <w:r>
        <w:t xml:space="preserve">Guidance outcomes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Outcome</w:t>
            </w:r>
          </w:p>
        </w:tc>
        <w:tc>
          <w:tcPr/>
          <w:p>
            <w:pPr>
              <w:pStyle w:val="Compact"/>
            </w:pPr>
            <w:r>
              <w:t xml:space="preserve">Likely interpretation</w:t>
            </w:r>
          </w:p>
        </w:tc>
      </w:tr>
      <w:tr>
        <w:tc>
          <w:tcPr/>
          <w:p>
            <w:pPr>
              <w:pStyle w:val="Compact"/>
            </w:pPr>
            <w:r>
              <w:t xml:space="preserve">Reiterates revenue and EPS ranges; Q2 near midpoint</w:t>
            </w:r>
          </w:p>
        </w:tc>
        <w:tc>
          <w:tcPr/>
          <w:p>
            <w:pPr>
              <w:pStyle w:val="Compact"/>
            </w:pPr>
            <w:r>
              <w:t xml:space="preserve">Acceptable, but management commentary will determine the reaction</w:t>
            </w:r>
          </w:p>
        </w:tc>
      </w:tr>
      <w:tr>
        <w:tc>
          <w:tcPr/>
          <w:p>
            <w:pPr>
              <w:pStyle w:val="Compact"/>
            </w:pPr>
            <w:r>
              <w:t xml:space="preserve">Reiterates ranges and signals WATCHMAN/EP stabilization</w:t>
            </w:r>
          </w:p>
        </w:tc>
        <w:tc>
          <w:tcPr/>
          <w:p>
            <w:pPr>
              <w:pStyle w:val="Compact"/>
            </w:pPr>
            <w:r>
              <w:t xml:space="preserve">Clearly positive; could support a substantial relief rally</w:t>
            </w:r>
          </w:p>
        </w:tc>
      </w:tr>
      <w:tr>
        <w:tc>
          <w:tcPr/>
          <w:p>
            <w:pPr>
              <w:pStyle w:val="Compact"/>
            </w:pPr>
            <w:r>
              <w:t xml:space="preserve">Narrows guidance toward the lower half</w:t>
            </w:r>
          </w:p>
        </w:tc>
        <w:tc>
          <w:tcPr/>
          <w:p>
            <w:pPr>
              <w:pStyle w:val="Compact"/>
            </w:pPr>
            <w:r>
              <w:t xml:space="preserve">Mixed to negative, although much may already be reflected in the stock</w:t>
            </w:r>
          </w:p>
        </w:tc>
      </w:tr>
      <w:tr>
        <w:tc>
          <w:tcPr/>
          <w:p>
            <w:pPr>
              <w:pStyle w:val="Compact"/>
            </w:pPr>
            <w:r>
              <w:t xml:space="preserve">Cuts organic growth but protects EPS through restructuring/buybacks</w:t>
            </w:r>
          </w:p>
        </w:tc>
        <w:tc>
          <w:tcPr/>
          <w:p>
            <w:pPr>
              <w:pStyle w:val="Compact"/>
            </w:pPr>
            <w:r>
              <w:t xml:space="preserve">Negative for business quality, less negative for near-term EPS</w:t>
            </w:r>
          </w:p>
        </w:tc>
      </w:tr>
      <w:tr>
        <w:tc>
          <w:tcPr/>
          <w:p>
            <w:pPr>
              <w:pStyle w:val="Compact"/>
            </w:pPr>
            <w:r>
              <w:t xml:space="preserve">Cuts both organic growth and EPS</w:t>
            </w:r>
          </w:p>
        </w:tc>
        <w:tc>
          <w:tcPr/>
          <w:p>
            <w:pPr>
              <w:pStyle w:val="Compact"/>
            </w:pPr>
            <w:r>
              <w:t xml:space="preserve">Strongly negative; suggests the reset is not complete</w:t>
            </w:r>
          </w:p>
        </w:tc>
      </w:tr>
    </w:tbl>
    <w:p>
      <w:pPr>
        <w:pStyle w:val="BodyText"/>
      </w:pPr>
      <w:r>
        <w:t xml:space="preserve">The upper half of the organic-growth range appears demanding unless Urology improves and the rest of the portfolio offsets flat sequential WATCHMAN and muted U.S. EP growth. The more realistic positive outcome may be</w:t>
      </w:r>
      <w:r>
        <w:t xml:space="preserve"> </w:t>
      </w:r>
      <w:r>
        <w:rPr>
          <w:b/>
          <w:bCs/>
        </w:rPr>
        <w:t xml:space="preserve">guidance retention with improving confidence in the lower half</w:t>
      </w:r>
      <w:r>
        <w:t xml:space="preserve">, rather than a near-term return to BSX’s former double-digit organic-growth profile.</w:t>
      </w:r>
    </w:p>
    <w:bookmarkEnd w:id="23"/>
    <w:bookmarkEnd w:id="24"/>
    <w:bookmarkStart w:id="27" w:name="capital-allocation-and-penumbra"/>
    <w:p>
      <w:pPr>
        <w:pStyle w:val="Heading2"/>
      </w:pPr>
      <w:r>
        <w:t xml:space="preserve">Capital allocation and Penumbra</w:t>
      </w:r>
    </w:p>
    <w:p>
      <w:pPr>
        <w:pStyle w:val="FirstParagraph"/>
      </w:pPr>
      <w:r>
        <w:t xml:space="preserve">Boston Scientific entered a</w:t>
      </w:r>
      <w:r>
        <w:t xml:space="preserve"> </w:t>
      </w:r>
      <w:r>
        <w:rPr>
          <w:b/>
          <w:bCs/>
        </w:rPr>
        <w:t xml:space="preserve">$2 billion accelerated share-repurchase agreement</w:t>
      </w:r>
      <w:r>
        <w:t xml:space="preserve"> </w:t>
      </w:r>
      <w:r>
        <w:t xml:space="preserve">in May, initially receiving approximately 30.4 million shares and estimating a $0.02 benefit to 2026 adjusted EPS. The company retained another $3 billion of repurchase authorization following completion of that program. (</w:t>
      </w:r>
      <w:hyperlink r:id="rId25">
        <w:r>
          <w:rPr>
            <w:rStyle w:val="Hyperlink"/>
          </w:rPr>
          <w:t xml:space="preserve">news.bostonscientific.com</w:t>
        </w:r>
      </w:hyperlink>
      <w:r>
        <w:t xml:space="preserve">)</w:t>
      </w:r>
    </w:p>
    <w:p>
      <w:pPr>
        <w:pStyle w:val="BodyText"/>
      </w:pPr>
      <w:r>
        <w:t xml:space="preserve">The report should clarify the final share count, the Q2 weighted-average diluted share impact and whether the $0.02 benefit is already incorporated into updated guidance. Investors should distinguish underlying operating performance from EPS support created by a lower share count.</w:t>
      </w:r>
    </w:p>
    <w:p>
      <w:pPr>
        <w:pStyle w:val="BodyText"/>
      </w:pPr>
      <w:r>
        <w:t xml:space="preserve">Penumbra shareholders approved the proposed acquisition on May 6. In the latest located transaction filing, closing remained subject to U.S. and international regulatory conditions. Investors will want an updated closing timetable, financing details and confirmation that Boston Scientific still expects the transaction to strengthen its vascular portfolio without compromising leverage or additional capital returns. (</w:t>
      </w:r>
      <w:hyperlink r:id="rId26">
        <w:r>
          <w:rPr>
            <w:rStyle w:val="Hyperlink"/>
          </w:rPr>
          <w:t xml:space="preserve">sec.gov</w:t>
        </w:r>
      </w:hyperlink>
      <w:r>
        <w:t xml:space="preserve">)</w:t>
      </w:r>
    </w:p>
    <w:bookmarkEnd w:id="27"/>
    <w:bookmarkStart w:id="28" w:name="other-potential-positives"/>
    <w:p>
      <w:pPr>
        <w:pStyle w:val="Heading2"/>
      </w:pPr>
      <w:r>
        <w:t xml:space="preserve">Other potential positives</w:t>
      </w:r>
    </w:p>
    <w:p>
      <w:pPr>
        <w:pStyle w:val="FirstParagraph"/>
      </w:pPr>
      <w:r>
        <w:t xml:space="preserve">Although the challenged businesses will dominate the discussion, BSX still has several offsets:</w:t>
      </w:r>
    </w:p>
    <w:p>
      <w:pPr>
        <w:pStyle w:val="Compact"/>
        <w:numPr>
          <w:ilvl w:val="0"/>
          <w:numId w:val="1006"/>
        </w:numPr>
      </w:pPr>
      <w:r>
        <w:t xml:space="preserve">strength in interventional cardiology and vascular therapies;</w:t>
      </w:r>
    </w:p>
    <w:p>
      <w:pPr>
        <w:pStyle w:val="Compact"/>
        <w:numPr>
          <w:ilvl w:val="0"/>
          <w:numId w:val="1006"/>
        </w:numPr>
      </w:pPr>
      <w:r>
        <w:t xml:space="preserve">continued international growth, particularly in Asia-Pacific;</w:t>
      </w:r>
    </w:p>
    <w:p>
      <w:pPr>
        <w:pStyle w:val="Compact"/>
        <w:numPr>
          <w:ilvl w:val="0"/>
          <w:numId w:val="1006"/>
        </w:numPr>
      </w:pPr>
      <w:r>
        <w:t xml:space="preserve">strong Neuromodulation performance;</w:t>
      </w:r>
    </w:p>
    <w:p>
      <w:pPr>
        <w:pStyle w:val="Compact"/>
        <w:numPr>
          <w:ilvl w:val="0"/>
          <w:numId w:val="1006"/>
        </w:numPr>
      </w:pPr>
      <w:r>
        <w:t xml:space="preserve">recovery potential in Endoscopy as supply issues ease;</w:t>
      </w:r>
    </w:p>
    <w:p>
      <w:pPr>
        <w:pStyle w:val="Compact"/>
        <w:numPr>
          <w:ilvl w:val="0"/>
          <w:numId w:val="1006"/>
        </w:numPr>
      </w:pPr>
      <w:r>
        <w:t xml:space="preserve">positive pivotal data for the SEISMIQ coronary intravascular lithotripsy system;</w:t>
      </w:r>
    </w:p>
    <w:p>
      <w:pPr>
        <w:pStyle w:val="Compact"/>
        <w:numPr>
          <w:ilvl w:val="0"/>
          <w:numId w:val="1006"/>
        </w:numPr>
      </w:pPr>
      <w:r>
        <w:t xml:space="preserve">WATCHMAN’s substantial installed base and clinical evidence; and</w:t>
      </w:r>
    </w:p>
    <w:p>
      <w:pPr>
        <w:pStyle w:val="Compact"/>
        <w:numPr>
          <w:ilvl w:val="0"/>
          <w:numId w:val="1006"/>
        </w:numPr>
      </w:pPr>
      <w:r>
        <w:t xml:space="preserve">a pipeline of next-generation EP, mapping, imaging and vascular products.</w:t>
      </w:r>
    </w:p>
    <w:p>
      <w:pPr>
        <w:pStyle w:val="FirstParagraph"/>
      </w:pPr>
      <w:r>
        <w:t xml:space="preserve">These businesses do not eliminate the near-term WATCHMAN and EP risks, but they matter when assessing whether BSX’s slowdown is companywide or concentrated in a few franchises.</w:t>
      </w:r>
    </w:p>
    <w:bookmarkEnd w:id="28"/>
    <w:bookmarkStart w:id="29" w:name="most-important-questions-for-management"/>
    <w:p>
      <w:pPr>
        <w:pStyle w:val="Heading2"/>
      </w:pPr>
      <w:r>
        <w:t xml:space="preserve">Most important questions for management</w:t>
      </w:r>
    </w:p>
    <w:p>
      <w:pPr>
        <w:pStyle w:val="Compact"/>
        <w:numPr>
          <w:ilvl w:val="0"/>
          <w:numId w:val="1007"/>
        </w:numPr>
      </w:pPr>
      <w:r>
        <w:rPr>
          <w:b/>
          <w:bCs/>
        </w:rPr>
        <w:t xml:space="preserve">WATCHMAN:</w:t>
      </w:r>
      <w:r>
        <w:t xml:space="preserve"> </w:t>
      </w:r>
      <w:r>
        <w:t xml:space="preserve">Did sequential revenue meet the flat Q1-to-Q2 framework, and what have July procedure trends shown?</w:t>
      </w:r>
    </w:p>
    <w:p>
      <w:pPr>
        <w:pStyle w:val="Compact"/>
        <w:numPr>
          <w:ilvl w:val="0"/>
          <w:numId w:val="1007"/>
        </w:numPr>
      </w:pPr>
      <w:r>
        <w:rPr>
          <w:b/>
          <w:bCs/>
        </w:rPr>
        <w:t xml:space="preserve">Stand-alone versus concomitant:</w:t>
      </w:r>
      <w:r>
        <w:t xml:space="preserve"> </w:t>
      </w:r>
      <w:r>
        <w:t xml:space="preserve">Is stand-alone WATCHMAN still declining, and at what point can concomitant procedures fully offset that decline?</w:t>
      </w:r>
    </w:p>
    <w:p>
      <w:pPr>
        <w:pStyle w:val="Compact"/>
        <w:numPr>
          <w:ilvl w:val="0"/>
          <w:numId w:val="1007"/>
        </w:numPr>
      </w:pPr>
      <w:r>
        <w:rPr>
          <w:b/>
          <w:bCs/>
        </w:rPr>
        <w:t xml:space="preserve">EP share:</w:t>
      </w:r>
      <w:r>
        <w:t xml:space="preserve"> </w:t>
      </w:r>
      <w:r>
        <w:t xml:space="preserve">How much U.S. PFA share did FARAPULSE lose in Q2?</w:t>
      </w:r>
    </w:p>
    <w:p>
      <w:pPr>
        <w:pStyle w:val="Compact"/>
        <w:numPr>
          <w:ilvl w:val="0"/>
          <w:numId w:val="1007"/>
        </w:numPr>
      </w:pPr>
      <w:r>
        <w:rPr>
          <w:b/>
          <w:bCs/>
        </w:rPr>
        <w:t xml:space="preserve">Urology:</w:t>
      </w:r>
      <w:r>
        <w:t xml:space="preserve"> </w:t>
      </w:r>
      <w:r>
        <w:t xml:space="preserve">Did organic growth improve sequentially, and are the commercial organization problems now resolved?</w:t>
      </w:r>
    </w:p>
    <w:p>
      <w:pPr>
        <w:pStyle w:val="Compact"/>
        <w:numPr>
          <w:ilvl w:val="0"/>
          <w:numId w:val="1007"/>
        </w:numPr>
      </w:pPr>
      <w:r>
        <w:rPr>
          <w:b/>
          <w:bCs/>
        </w:rPr>
        <w:t xml:space="preserve">Gross margin:</w:t>
      </w:r>
      <w:r>
        <w:t xml:space="preserve"> </w:t>
      </w:r>
      <w:r>
        <w:t xml:space="preserve">How much pressure came from mix, tariffs and supply-chain investments?</w:t>
      </w:r>
    </w:p>
    <w:p>
      <w:pPr>
        <w:pStyle w:val="Compact"/>
        <w:numPr>
          <w:ilvl w:val="0"/>
          <w:numId w:val="1007"/>
        </w:numPr>
      </w:pPr>
      <w:r>
        <w:rPr>
          <w:b/>
          <w:bCs/>
        </w:rPr>
        <w:t xml:space="preserve">Restructuring:</w:t>
      </w:r>
      <w:r>
        <w:t xml:space="preserve"> </w:t>
      </w:r>
      <w:r>
        <w:t xml:space="preserve">When does the $500 million gross savings run rate begin, and what percentage will reach operating profit?</w:t>
      </w:r>
    </w:p>
    <w:p>
      <w:pPr>
        <w:pStyle w:val="Compact"/>
        <w:numPr>
          <w:ilvl w:val="0"/>
          <w:numId w:val="1007"/>
        </w:numPr>
      </w:pPr>
      <w:r>
        <w:rPr>
          <w:b/>
          <w:bCs/>
        </w:rPr>
        <w:t xml:space="preserve">Guidance:</w:t>
      </w:r>
      <w:r>
        <w:t xml:space="preserve"> </w:t>
      </w:r>
      <w:r>
        <w:t xml:space="preserve">What assumptions support the 6.5%–8.0% organic-growth range after the May WATCHMAN update?</w:t>
      </w:r>
    </w:p>
    <w:p>
      <w:pPr>
        <w:pStyle w:val="Compact"/>
        <w:numPr>
          <w:ilvl w:val="0"/>
          <w:numId w:val="1007"/>
        </w:numPr>
      </w:pPr>
      <w:r>
        <w:rPr>
          <w:b/>
          <w:bCs/>
        </w:rPr>
        <w:t xml:space="preserve">2027:</w:t>
      </w:r>
      <w:r>
        <w:t xml:space="preserve"> </w:t>
      </w:r>
      <w:r>
        <w:t xml:space="preserve">Can the company still return to above-market organic growth next year?</w:t>
      </w:r>
    </w:p>
    <w:p>
      <w:pPr>
        <w:pStyle w:val="Compact"/>
        <w:numPr>
          <w:ilvl w:val="0"/>
          <w:numId w:val="1007"/>
        </w:numPr>
      </w:pPr>
      <w:r>
        <w:rPr>
          <w:b/>
          <w:bCs/>
        </w:rPr>
        <w:t xml:space="preserve">Penumbra:</w:t>
      </w:r>
      <w:r>
        <w:t xml:space="preserve"> </w:t>
      </w:r>
      <w:r>
        <w:t xml:space="preserve">What regulatory approvals remain, and when is closing now expected?</w:t>
      </w:r>
    </w:p>
    <w:p>
      <w:pPr>
        <w:pStyle w:val="Compact"/>
        <w:numPr>
          <w:ilvl w:val="0"/>
          <w:numId w:val="1007"/>
        </w:numPr>
      </w:pPr>
      <w:r>
        <w:rPr>
          <w:b/>
          <w:bCs/>
        </w:rPr>
        <w:t xml:space="preserve">Buyback:</w:t>
      </w:r>
      <w:r>
        <w:t xml:space="preserve"> </w:t>
      </w:r>
      <w:r>
        <w:t xml:space="preserve">How much of 2026 EPS growth is operational versus share-count-driven?</w:t>
      </w:r>
    </w:p>
    <w:bookmarkEnd w:id="29"/>
    <w:bookmarkStart w:id="30" w:name="bottom-line"/>
    <w:p>
      <w:pPr>
        <w:pStyle w:val="Heading2"/>
      </w:pPr>
      <w:r>
        <w:t xml:space="preserve">Bottom line</w:t>
      </w:r>
    </w:p>
    <w:p>
      <w:pPr>
        <w:pStyle w:val="FirstParagraph"/>
      </w:pPr>
      <w:r>
        <w:t xml:space="preserve">The bar for the reported quarter is low: approximately</w:t>
      </w:r>
      <w:r>
        <w:t xml:space="preserve"> </w:t>
      </w:r>
      <w:r>
        <w:rPr>
          <w:b/>
          <w:bCs/>
        </w:rPr>
        <w:t xml:space="preserve">$5.39 billion of revenue and $0.83 of adjusted EPS</w:t>
      </w:r>
      <w:r>
        <w:t xml:space="preserve">, both near the center of company guidance. A modest beat is therefore possible.</w:t>
      </w:r>
    </w:p>
    <w:p>
      <w:pPr>
        <w:pStyle w:val="BodyText"/>
      </w:pPr>
      <w:r>
        <w:t xml:space="preserve">But the stock is unlikely to be driven primarily by the Q2 headline numbers. The decisive issues are whether WATCHMAN has stopped deteriorating, whether FARAPULSE share loss is moderating, whether Urology is recovering and whether management can maintain full-year guidance without relying excessively on cost cuts and buybacks.</w:t>
      </w:r>
    </w:p>
    <w:p>
      <w:pPr>
        <w:pStyle w:val="BodyText"/>
      </w:pPr>
      <w:r>
        <w:rPr>
          <w:b/>
          <w:bCs/>
        </w:rPr>
        <w:t xml:space="preserve">The bullish setup</w:t>
      </w:r>
      <w:r>
        <w:t xml:space="preserve"> </w:t>
      </w:r>
      <w:r>
        <w:t xml:space="preserve">is that expectations, valuation and sentiment have already reset dramatically, while the broader portfolio remains healthy. Stable guidance plus credible evidence of franchise stabilization could produce a meaningful relief rally.</w:t>
      </w:r>
    </w:p>
    <w:p>
      <w:pPr>
        <w:pStyle w:val="BodyText"/>
      </w:pPr>
      <w:r>
        <w:rPr>
          <w:b/>
          <w:bCs/>
        </w:rPr>
        <w:t xml:space="preserve">The bearish setup</w:t>
      </w:r>
      <w:r>
        <w:t xml:space="preserve"> </w:t>
      </w:r>
      <w:r>
        <w:t xml:space="preserve">is that the restructuring announcement precedes another reduction in revenue expectations, confirming that the slowdown extends beyond temporary workflow and commercial issues.</w:t>
      </w:r>
    </w:p>
    <w:p>
      <w:pPr>
        <w:pStyle w:val="BodyText"/>
      </w:pPr>
      <w:r>
        <w:t xml:space="preserve">Overall, this is a</w:t>
      </w:r>
      <w:r>
        <w:t xml:space="preserve"> </w:t>
      </w:r>
      <w:r>
        <w:rPr>
          <w:b/>
          <w:bCs/>
        </w:rPr>
        <w:t xml:space="preserve">credibility and stabilization quarter—not a conventional beat-or-miss quarter</w:t>
      </w:r>
      <w:r>
        <w:t xml:space="preserve">.</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https://earningscalls.dev/transcripts/boston-scientific-corporation_bsx_earnings_call_transcript_2026-05-27?utm_source=openai" TargetMode="External" /><Relationship Type="http://schemas.openxmlformats.org/officeDocument/2006/relationships/hyperlink" Id="rId17" Target="https://news.bostonscientific.com/2026-04-22-Boston-Scientific-announces-results-for-first-quarter-2026?utm_source=openai" TargetMode="External" /><Relationship Type="http://schemas.openxmlformats.org/officeDocument/2006/relationships/hyperlink" Id="rId25" Target="https://news.bostonscientific.com/2026-05-18-Boston-Scientific-enters-into-2-billion-accelerated-share-repurchase-agreement?utm_source=openai" TargetMode="External" /><Relationship Type="http://schemas.openxmlformats.org/officeDocument/2006/relationships/hyperlink" Id="rId22" Target="https://www.barchart.com/stocks/quotes/BSX/earnings-estimates?utm_source=openai" TargetMode="External" /><Relationship Type="http://schemas.openxmlformats.org/officeDocument/2006/relationships/hyperlink" Id="rId26" Target="https://www.sec.gov/Archives/edgar/data/1321732/000132173226000025/pen-xspecialmeetingvoteres.htm?utm_source=openai" TargetMode="External" /><Relationship Type="http://schemas.openxmlformats.org/officeDocument/2006/relationships/hyperlink" Id="rId10" Target="https://www.sec.gov/Archives/edgar/data/885725/000088572526000031/q12026earningsrelease.htm?utm_source=openai" TargetMode="External" /><Relationship Type="http://schemas.openxmlformats.org/officeDocument/2006/relationships/hyperlink" Id="rId19" Target="https://www.sec.gov/Archives/edgar/data/885725/000088572526000049/bsx-20260721.htm" TargetMode="External" /></Relationships>
</file>

<file path=word/_rels/footnotes.xml.rels><?xml version="1.0" encoding="UTF-8"?><Relationships xmlns="http://schemas.openxmlformats.org/package/2006/relationships"><Relationship Type="http://schemas.openxmlformats.org/officeDocument/2006/relationships/hyperlink" Id="rId12" Target="https://earningscalls.dev/transcripts/boston-scientific-corporation_bsx_earnings_call_transcript_2026-05-27?utm_source=openai" TargetMode="External" /><Relationship Type="http://schemas.openxmlformats.org/officeDocument/2006/relationships/hyperlink" Id="rId17" Target="https://news.bostonscientific.com/2026-04-22-Boston-Scientific-announces-results-for-first-quarter-2026?utm_source=openai" TargetMode="External" /><Relationship Type="http://schemas.openxmlformats.org/officeDocument/2006/relationships/hyperlink" Id="rId25" Target="https://news.bostonscientific.com/2026-05-18-Boston-Scientific-enters-into-2-billion-accelerated-share-repurchase-agreement?utm_source=openai" TargetMode="External" /><Relationship Type="http://schemas.openxmlformats.org/officeDocument/2006/relationships/hyperlink" Id="rId22" Target="https://www.barchart.com/stocks/quotes/BSX/earnings-estimates?utm_source=openai" TargetMode="External" /><Relationship Type="http://schemas.openxmlformats.org/officeDocument/2006/relationships/hyperlink" Id="rId26" Target="https://www.sec.gov/Archives/edgar/data/1321732/000132173226000025/pen-xspecialmeetingvoteres.htm?utm_source=openai" TargetMode="External" /><Relationship Type="http://schemas.openxmlformats.org/officeDocument/2006/relationships/hyperlink" Id="rId10" Target="https://www.sec.gov/Archives/edgar/data/885725/000088572526000031/q12026earningsrelease.htm?utm_source=openai" TargetMode="External" /><Relationship Type="http://schemas.openxmlformats.org/officeDocument/2006/relationships/hyperlink" Id="rId19" Target="https://www.sec.gov/Archives/edgar/data/885725/000088572526000049/bsx-2026072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2026-07-29T00:07:53Z</dcterms:created>
  <dcterms:modified xsi:type="dcterms:W3CDTF">2026-07-29T00:07:53Z</dcterms:modified>
</cp:coreProperties>
</file>

<file path=docProps/custom.xml><?xml version="1.0" encoding="utf-8"?>
<Properties xmlns="http://schemas.openxmlformats.org/officeDocument/2006/custom-properties" xmlns:vt="http://schemas.openxmlformats.org/officeDocument/2006/docPropsVTypes"/>
</file>