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sx-earnings-predictions--2026-07-29"/>
    <w:p>
      <w:pPr>
        <w:pStyle w:val="Heading1"/>
      </w:pPr>
      <w:r>
        <w:t xml:space="preserve">BSX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~5.6% vs. cons 5.3%.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~$0.85 vs. cons $0.83.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WATCHMAN 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~10.5% vs. cons 13.0%.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~7.25% vs. cons 7.20% (FY2026).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~$3.38 vs. cons $3.38 (FY2026).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organic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~6.7% vs. cons 7.2% (Q3 2026).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~$0.84 vs. cons $0.85 (Q3 2026).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A ~$0.02 EPS beat versus</w:t>
            </w:r>
            <w:r>
              <w:t xml:space="preserve"> </w:t>
            </w:r>
            <m:oMath>
              <m:r>
                <m:t>0.83</m:t>
              </m:r>
              <m:r>
                <m:t>a</m:t>
              </m:r>
              <m:r>
                <m:t>n</m:t>
              </m:r>
              <m:r>
                <m:t>d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3.38 versus $3.38 should initially relieve fears of another reset, but a softer Q3 organic-growth guide of ~6.7% versus 7.2% and WATCHMAN growth of ~10.5% versus 13.0% should pull 2026H2 and 2027 revenue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2026-07-29T00:06:30Z</dcterms:created>
  <dcterms:modified xsi:type="dcterms:W3CDTF">2026-07-29T00:06:30Z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