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2b169255f1cb6d64b0631bd3f0db9a30113c00"/>
    <w:p>
      <w:pPr>
        <w:pStyle w:val="Heading1"/>
      </w:pPr>
      <w:r>
        <w:t xml:space="preserve">Boston Scientific (BSX) — 2Q26 Earnings Preview</w:t>
      </w:r>
    </w:p>
    <w:p>
      <w:pPr>
        <w:pStyle w:val="FirstParagraph"/>
      </w:pPr>
      <w:r>
        <w:rPr>
          <w:b/>
          <w:bCs/>
        </w:rPr>
        <w:t xml:space="preserve">Reports Wednesday, July 29, 2026, before the U.S. market opens</w:t>
      </w:r>
    </w:p>
    <w:bookmarkStart w:id="9" w:name="bottom-line"/>
    <w:p>
      <w:pPr>
        <w:pStyle w:val="Heading2"/>
      </w:pPr>
      <w:r>
        <w:t xml:space="preserve">Bottom line</w:t>
      </w:r>
    </w:p>
    <w:p>
      <w:pPr>
        <w:pStyle w:val="FirstParagraph"/>
      </w:pPr>
      <w:r>
        <w:t xml:space="preserve">BSX enters 2Q earnings with expectations reset sharply lower, but with the bar now relatively manageable. The central question is not whether Boston Scientific can meet the quarter’s</w:t>
      </w:r>
      <w:r>
        <w:t xml:space="preserve"> </w:t>
      </w:r>
      <w:r>
        <w:rPr>
          <w:b/>
          <w:bCs/>
        </w:rPr>
        <w:t xml:space="preserve">5%–7% organic-sales-growth</w:t>
      </w:r>
      <w:r>
        <w:t xml:space="preserve"> </w:t>
      </w:r>
      <w:r>
        <w:t xml:space="preserve">and</w:t>
      </w:r>
      <w:r>
        <w:t xml:space="preserve"> </w:t>
      </w:r>
      <m:oMath>
        <m:r>
          <m:t>0.82</m:t>
        </m:r>
        <m:r>
          <m:rPr>
            <m:sty m:val="p"/>
          </m:rPr>
          <m:t>–</m:t>
        </m:r>
      </m:oMath>
      <w:r>
        <w:rPr>
          <w:b/>
          <w:bCs/>
        </w:rPr>
        <w:t xml:space="preserve">0.84 adjusted EPS</w:t>
      </w:r>
      <w:r>
        <w:t xml:space="preserve"> </w:t>
      </w:r>
      <w:r>
        <w:t xml:space="preserve">guide; it is whether management can credibly demonstrate that the Q2 slowdown represents a trough rather than the beginning of a more durable reset in its two most important growth franchises:</w:t>
      </w:r>
      <w:r>
        <w:t xml:space="preserve"> </w:t>
      </w:r>
      <w:r>
        <w:rPr>
          <w:b/>
          <w:bCs/>
        </w:rPr>
        <w:t xml:space="preserve">electrophysiology (EP/FARAPULSE)</w:t>
      </w:r>
      <w:r>
        <w:t xml:space="preserve"> </w:t>
      </w:r>
      <w:r>
        <w:t xml:space="preserve">and</w:t>
      </w:r>
      <w:r>
        <w:t xml:space="preserve"> </w:t>
      </w:r>
      <w:r>
        <w:rPr>
          <w:b/>
          <w:bCs/>
        </w:rPr>
        <w:t xml:space="preserve">WATCHMAN</w:t>
      </w:r>
      <w:r>
        <w:t xml:space="preserve">.</w:t>
      </w:r>
    </w:p>
    <w:p>
      <w:pPr>
        <w:pStyle w:val="BodyText"/>
      </w:pPr>
      <w:r>
        <w:t xml:space="preserve">The Street is reportedly modeling</w:t>
      </w:r>
      <w:r>
        <w:t xml:space="preserve"> </w:t>
      </w:r>
      <w:r>
        <w:rPr>
          <w:b/>
          <w:bCs/>
        </w:rPr>
        <w:t xml:space="preserve">5.3% organic revenue growth and $0.83 of adjusted EPS</w:t>
      </w:r>
      <w:r>
        <w:t xml:space="preserve">—essentially the low half/midpoint of management’s range. That leaves room for a modest beat, but the stock’s reaction will likely depend far more on the full-year outlook, segment-level trends, and management’s confidence in a 2027 reacceleration.</w:t>
      </w:r>
    </w:p>
    <w:bookmarkEnd w:id="9"/>
    <w:bookmarkStart w:id="10" w:name="expectations-and-setup"/>
    <w:p>
      <w:pPr>
        <w:pStyle w:val="Heading2"/>
      </w:pPr>
      <w:r>
        <w:t xml:space="preserve">Expectations and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guide</w:t>
            </w:r>
          </w:p>
        </w:tc>
        <w:tc>
          <w:tcPr/>
          <w:p>
            <w:pPr>
              <w:pStyle w:val="Compact"/>
              <w:jc w:val="right"/>
            </w:pPr>
            <w:r>
              <w:t xml:space="preserve">Street expectation</w:t>
            </w:r>
          </w:p>
        </w:tc>
        <w:tc>
          <w:tcPr/>
          <w:p>
            <w:pPr>
              <w:pStyle w:val="Compact"/>
              <w:jc w:val="right"/>
            </w:pPr>
            <w:r>
              <w:t xml:space="preserve">2Q25 actual</w:t>
            </w:r>
          </w:p>
        </w:tc>
      </w:tr>
      <w:tr>
        <w:tc>
          <w:tcPr/>
          <w:p>
            <w:pPr>
              <w:pStyle w:val="Compact"/>
            </w:pPr>
            <w:r>
              <w:t xml:space="preserve">Organic sales growth</w:t>
            </w:r>
          </w:p>
        </w:tc>
        <w:tc>
          <w:tcPr/>
          <w:p>
            <w:pPr>
              <w:pStyle w:val="Compact"/>
              <w:jc w:val="right"/>
            </w:pPr>
            <w:r>
              <w:t xml:space="preserve">5.0%–7.0%</w:t>
            </w:r>
          </w:p>
        </w:tc>
        <w:tc>
          <w:tcPr/>
          <w:p>
            <w:pPr>
              <w:pStyle w:val="Compact"/>
              <w:jc w:val="right"/>
            </w:pPr>
            <w:r>
              <w:t xml:space="preserve">5.3%</w:t>
            </w:r>
          </w:p>
        </w:tc>
        <w:tc>
          <w:tcPr/>
          <w:p>
            <w:pPr>
              <w:pStyle w:val="Compact"/>
              <w:jc w:val="right"/>
            </w:pPr>
            <w:r>
              <w:t xml:space="preserve">17.4%</w:t>
            </w:r>
          </w:p>
        </w:tc>
      </w:tr>
      <w:tr>
        <w:tc>
          <w:tcPr/>
          <w:p>
            <w:pPr>
              <w:pStyle w:val="Compact"/>
            </w:pPr>
            <w:r>
              <w:t xml:space="preserve">Reported sales growth</w:t>
            </w:r>
          </w:p>
        </w:tc>
        <w:tc>
          <w:tcPr/>
          <w:p>
            <w:pPr>
              <w:pStyle w:val="Compact"/>
              <w:jc w:val="right"/>
            </w:pPr>
            <w:r>
              <w:t xml:space="preserve">5.5%–7.5%</w:t>
            </w:r>
          </w:p>
        </w:tc>
        <w:tc>
          <w:tcPr/>
          <w:p>
            <w:pPr>
              <w:pStyle w:val="Compact"/>
              <w:jc w:val="right"/>
            </w:pPr>
            <w:r>
              <w:t xml:space="preserve">—</w:t>
            </w:r>
          </w:p>
        </w:tc>
        <w:tc>
          <w:tcPr/>
          <w:p>
            <w:pPr>
              <w:pStyle w:val="Compact"/>
              <w:jc w:val="right"/>
            </w:pPr>
            <w:r>
              <w:t xml:space="preserve">22.8%</w:t>
            </w:r>
          </w:p>
        </w:tc>
      </w:tr>
      <w:tr>
        <w:tc>
          <w:tcPr/>
          <w:p>
            <w:pPr>
              <w:pStyle w:val="Compact"/>
            </w:pPr>
            <w:r>
              <w:t xml:space="preserve">Implied reported revenue</w:t>
            </w:r>
          </w:p>
        </w:tc>
        <w:tc>
          <w:tcPr/>
          <w:p>
            <w:pPr>
              <w:pStyle w:val="Compact"/>
              <w:jc w:val="right"/>
            </w:pPr>
            <w:r>
              <w:t xml:space="preserve">~</w:t>
            </w:r>
            <m:oMath>
              <m:r>
                <m:t>5.34</m:t>
              </m:r>
              <m:r>
                <m:t>B</m:t>
              </m:r>
              <m:r>
                <m:rPr>
                  <m:sty m:val="p"/>
                </m:rPr>
                <m:t>–</m:t>
              </m:r>
            </m:oMath>
            <w:r>
              <w:t xml:space="preserve">5.44B</w:t>
            </w:r>
          </w:p>
        </w:tc>
        <w:tc>
          <w:tcPr/>
          <w:p>
            <w:pPr>
              <w:pStyle w:val="Compact"/>
              <w:jc w:val="right"/>
            </w:pPr>
            <w:r>
              <w:t xml:space="preserve">—</w:t>
            </w:r>
          </w:p>
        </w:tc>
        <w:tc>
          <w:tcPr/>
          <w:p>
            <w:pPr>
              <w:pStyle w:val="Compact"/>
              <w:jc w:val="right"/>
            </w:pPr>
            <w:r>
              <w:t xml:space="preserve">$5.06B</w:t>
            </w:r>
          </w:p>
        </w:tc>
      </w:tr>
      <w:tr>
        <w:tc>
          <w:tcPr/>
          <w:p>
            <w:pPr>
              <w:pStyle w:val="Compact"/>
            </w:pPr>
            <w:r>
              <w:t xml:space="preserve">Adjusted EPS</w:t>
            </w:r>
          </w:p>
        </w:tc>
        <w:tc>
          <w:tcPr/>
          <w:p>
            <w:pPr>
              <w:pStyle w:val="Compact"/>
              <w:jc w:val="right"/>
            </w:pPr>
            <m:oMath>
              <m:r>
                <m:t>0.82</m:t>
              </m:r>
              <m:r>
                <m:rPr>
                  <m:sty m:val="p"/>
                </m:rPr>
                <m:t>–</m:t>
              </m:r>
            </m:oMath>
            <w:r>
              <w:t xml:space="preserve">0.84</w:t>
            </w:r>
          </w:p>
        </w:tc>
        <w:tc>
          <w:tcPr/>
          <w:p>
            <w:pPr>
              <w:pStyle w:val="Compact"/>
              <w:jc w:val="right"/>
            </w:pPr>
            <w:r>
              <w:t xml:space="preserve">$0.83</w:t>
            </w:r>
          </w:p>
        </w:tc>
        <w:tc>
          <w:tcPr/>
          <w:p>
            <w:pPr>
              <w:pStyle w:val="Compact"/>
              <w:jc w:val="right"/>
            </w:pPr>
            <w:r>
              <w:t xml:space="preserve">$0.75</w:t>
            </w:r>
          </w:p>
        </w:tc>
      </w:tr>
    </w:tbl>
    <w:p>
      <w:pPr>
        <w:pStyle w:val="BodyText"/>
      </w:pPr>
      <w:r>
        <w:t xml:space="preserve">The earnings comparison is difficult: 2Q25 included</w:t>
      </w:r>
      <w:r>
        <w:t xml:space="preserve"> </w:t>
      </w:r>
      <w:r>
        <w:rPr>
          <w:b/>
          <w:bCs/>
        </w:rPr>
        <w:t xml:space="preserve">17.4% organic growth</w:t>
      </w:r>
      <w:r>
        <w:t xml:space="preserve">, driven by exceptional Cardiovascular growth and a rapidly scaling FARAPULSE platform. The 2026 guide therefore reflects both tougher comparisons and specific execution issues rather than a broad deterioration in underlying procedure markets.</w:t>
      </w:r>
    </w:p>
    <w:p>
      <w:pPr>
        <w:pStyle w:val="BodyText"/>
      </w:pPr>
      <w:r>
        <w:t xml:space="preserve">BSX’s shares closed at</w:t>
      </w:r>
      <w:r>
        <w:t xml:space="preserve"> </w:t>
      </w:r>
      <w:r>
        <w:rPr>
          <w:b/>
          <w:bCs/>
        </w:rPr>
        <w:t xml:space="preserve">$46.07 on July 28</w:t>
      </w:r>
      <w:r>
        <w:t xml:space="preserve">, down roughly</w:t>
      </w:r>
      <w:r>
        <w:t xml:space="preserve"> </w:t>
      </w:r>
      <w:r>
        <w:rPr>
          <w:b/>
          <w:bCs/>
        </w:rPr>
        <w:t xml:space="preserve">29% from the $64.87 close immediately following 1Q earnings on April 22</w:t>
      </w:r>
      <w:r>
        <w:t xml:space="preserve">. That decline suggests investors already recognize the growth reset, although expectations may still be sensitive to any further full-year de-risking.</w:t>
      </w:r>
    </w:p>
    <w:bookmarkEnd w:id="10"/>
    <w:bookmarkStart w:id="14" w:name="what-management-must-prove"/>
    <w:p>
      <w:pPr>
        <w:pStyle w:val="Heading2"/>
      </w:pPr>
      <w:r>
        <w:t xml:space="preserve">What management must prove</w:t>
      </w:r>
    </w:p>
    <w:bookmarkStart w:id="11" w:name="X164489abe9ea929df431f102dd6141aa2bbcbc2"/>
    <w:p>
      <w:pPr>
        <w:pStyle w:val="Heading3"/>
      </w:pPr>
      <w:r>
        <w:t xml:space="preserve">1. EP: Is share pressure contained?</w:t>
      </w:r>
    </w:p>
    <w:p>
      <w:pPr>
        <w:pStyle w:val="FirstParagraph"/>
      </w:pPr>
      <w:r>
        <w:t xml:space="preserve">EP is the biggest debate. In 1Q, EP grew</w:t>
      </w:r>
      <w:r>
        <w:t xml:space="preserve"> </w:t>
      </w:r>
      <w:r>
        <w:rPr>
          <w:b/>
          <w:bCs/>
        </w:rPr>
        <w:t xml:space="preserve">22% organically</w:t>
      </w:r>
      <w:r>
        <w:t xml:space="preserve">, but management reduced its full-year EP outlook to approximately</w:t>
      </w:r>
      <w:r>
        <w:t xml:space="preserve"> </w:t>
      </w:r>
      <w:r>
        <w:rPr>
          <w:b/>
          <w:bCs/>
        </w:rPr>
        <w:t xml:space="preserve">10% growth</w:t>
      </w:r>
      <w:r>
        <w:t xml:space="preserve">, with U.S. growth expected in the mid-single digits. The issue is not category demand; it is rising competition and more share loss than BSX had anticipated in pulsed-field ablation.</w:t>
      </w:r>
    </w:p>
    <w:p>
      <w:pPr>
        <w:pStyle w:val="BodyText"/>
      </w:pPr>
      <w:r>
        <w:t xml:space="preserve">Investors should focus on:</w:t>
      </w:r>
    </w:p>
    <w:p>
      <w:pPr>
        <w:pStyle w:val="Compact"/>
        <w:numPr>
          <w:ilvl w:val="0"/>
          <w:numId w:val="1001"/>
        </w:numPr>
      </w:pPr>
      <w:r>
        <w:rPr>
          <w:b/>
          <w:bCs/>
        </w:rPr>
        <w:t xml:space="preserve">U.S. EP growth and FARAPULSE utilization:</w:t>
      </w:r>
      <w:r>
        <w:t xml:space="preserve"> </w:t>
      </w:r>
      <w:r>
        <w:t xml:space="preserve">Management indicated U.S. EP could be flat to low-single-digit growth through the balance of 2026. A better result would challenge that cautious setup.</w:t>
      </w:r>
    </w:p>
    <w:p>
      <w:pPr>
        <w:pStyle w:val="Compact"/>
        <w:numPr>
          <w:ilvl w:val="0"/>
          <w:numId w:val="1001"/>
        </w:numPr>
      </w:pPr>
      <w:r>
        <w:rPr>
          <w:b/>
          <w:bCs/>
        </w:rPr>
        <w:t xml:space="preserve">International EP momentum:</w:t>
      </w:r>
      <w:r>
        <w:t xml:space="preserve"> </w:t>
      </w:r>
      <w:r>
        <w:t xml:space="preserve">International performance was much stronger, with management expecting roughly 20% growth. Sustained international execution could partly offset U.S. share pressure.</w:t>
      </w:r>
    </w:p>
    <w:p>
      <w:pPr>
        <w:pStyle w:val="Compact"/>
        <w:numPr>
          <w:ilvl w:val="0"/>
          <w:numId w:val="1001"/>
        </w:numPr>
      </w:pPr>
      <w:r>
        <w:rPr>
          <w:b/>
          <w:bCs/>
        </w:rPr>
        <w:t xml:space="preserve">Mapping adoption:</w:t>
      </w:r>
      <w:r>
        <w:t xml:space="preserve"> </w:t>
      </w:r>
      <w:r>
        <w:t xml:space="preserve">Continued placements and utilization of the OPAL mapping platform are strategically important. BSX’s defense against a more competitive PFA market relies increasingly on a broader EP ecosystem—not solely the FARAPULSE catheter.</w:t>
      </w:r>
    </w:p>
    <w:p>
      <w:pPr>
        <w:pStyle w:val="Compact"/>
        <w:numPr>
          <w:ilvl w:val="0"/>
          <w:numId w:val="1001"/>
        </w:numPr>
      </w:pPr>
      <w:r>
        <w:rPr>
          <w:b/>
          <w:bCs/>
        </w:rPr>
        <w:t xml:space="preserve">2027 launch cadence:</w:t>
      </w:r>
      <w:r>
        <w:t xml:space="preserve"> </w:t>
      </w:r>
      <w:r>
        <w:t xml:space="preserve">Investors will want further confirmation around FARAWAVE Ultra, ICE, and future focal-ablation products. These launches underpin the argument that 2026 is a transition year rather than a structural loss of relevance.</w:t>
      </w:r>
    </w:p>
    <w:bookmarkEnd w:id="11"/>
    <w:bookmarkStart w:id="12" w:name="X24238d0ac6220049e9b8e876dda785710715b3a"/>
    <w:p>
      <w:pPr>
        <w:pStyle w:val="Heading3"/>
      </w:pPr>
      <w:r>
        <w:t xml:space="preserve">2. WATCHMAN: Can standalone procedure volumes stabilize?</w:t>
      </w:r>
    </w:p>
    <w:p>
      <w:pPr>
        <w:pStyle w:val="FirstParagraph"/>
      </w:pPr>
      <w:r>
        <w:t xml:space="preserve">WATCHMAN grew</w:t>
      </w:r>
      <w:r>
        <w:t xml:space="preserve"> </w:t>
      </w:r>
      <w:r>
        <w:rPr>
          <w:b/>
          <w:bCs/>
        </w:rPr>
        <w:t xml:space="preserve">19% organically in 1Q</w:t>
      </w:r>
      <w:r>
        <w:t xml:space="preserve">, but management lowered its 2026 outlook to mid-teens globally. The key issue is a weakening standalone business, partly offset by growth in concomitant procedures performed alongside AF ablations.</w:t>
      </w:r>
    </w:p>
    <w:p>
      <w:pPr>
        <w:pStyle w:val="BodyText"/>
      </w:pPr>
      <w:r>
        <w:t xml:space="preserve">Management attributed the slowdown to hospital-capacity constraints, changing physician workflow, prioritization of other procedures, reimbursement dynamics, and a shift in activity toward EP-led concomitant procedures. The favorable CHAMPION-AF data supports the long-term clinical proposition, but its translation into labeling, guidelines, coverage, and actual procedure growth will take time.</w:t>
      </w:r>
    </w:p>
    <w:p>
      <w:pPr>
        <w:pStyle w:val="BodyText"/>
      </w:pPr>
      <w:r>
        <w:t xml:space="preserve">For 2Q, investors should look for:</w:t>
      </w:r>
    </w:p>
    <w:p>
      <w:pPr>
        <w:pStyle w:val="Compact"/>
        <w:numPr>
          <w:ilvl w:val="0"/>
          <w:numId w:val="1002"/>
        </w:numPr>
      </w:pPr>
      <w:r>
        <w:t xml:space="preserve">Evidence that</w:t>
      </w:r>
      <w:r>
        <w:t xml:space="preserve"> </w:t>
      </w:r>
      <w:r>
        <w:rPr>
          <w:b/>
          <w:bCs/>
        </w:rPr>
        <w:t xml:space="preserve">standalone WATCHMAN volumes have stopped worsening</w:t>
      </w:r>
      <w:r>
        <w:t xml:space="preserve">.</w:t>
      </w:r>
    </w:p>
    <w:p>
      <w:pPr>
        <w:pStyle w:val="Compact"/>
        <w:numPr>
          <w:ilvl w:val="0"/>
          <w:numId w:val="1002"/>
        </w:numPr>
      </w:pPr>
      <w:r>
        <w:t xml:space="preserve">Whether</w:t>
      </w:r>
      <w:r>
        <w:t xml:space="preserve"> </w:t>
      </w:r>
      <w:r>
        <w:rPr>
          <w:b/>
          <w:bCs/>
        </w:rPr>
        <w:t xml:space="preserve">concomitant adoption continues to expand</w:t>
      </w:r>
      <w:r>
        <w:t xml:space="preserve"> </w:t>
      </w:r>
      <w:r>
        <w:t xml:space="preserve">as planned.</w:t>
      </w:r>
    </w:p>
    <w:p>
      <w:pPr>
        <w:pStyle w:val="Compact"/>
        <w:numPr>
          <w:ilvl w:val="0"/>
          <w:numId w:val="1002"/>
        </w:numPr>
      </w:pPr>
      <w:r>
        <w:t xml:space="preserve">Any indication that commercial investments targeting interventional-cardiology accounts are improving execution.</w:t>
      </w:r>
    </w:p>
    <w:p>
      <w:pPr>
        <w:pStyle w:val="Compact"/>
        <w:numPr>
          <w:ilvl w:val="0"/>
          <w:numId w:val="1002"/>
        </w:numPr>
      </w:pPr>
      <w:r>
        <w:t xml:space="preserve">Commentary on CHAMPION-AF-driven labeling, guideline, or reimbursement progress.</w:t>
      </w:r>
    </w:p>
    <w:p>
      <w:pPr>
        <w:pStyle w:val="FirstParagraph"/>
      </w:pPr>
      <w:r>
        <w:t xml:space="preserve">A stable WATCHMAN result could be enough for the stock; another material deceleration would likely renew concerns about the durability of one of BSX’s highest-value growth drivers.</w:t>
      </w:r>
    </w:p>
    <w:bookmarkEnd w:id="12"/>
    <w:bookmarkStart w:id="13" w:name="X078ae03b09c88ed67d5ed37ba57cb238fdd2469"/>
    <w:p>
      <w:pPr>
        <w:pStyle w:val="Heading3"/>
      </w:pPr>
      <w:r>
        <w:t xml:space="preserve">3. Urology and Endoscopy: Are the “fixable” headwinds improving?</w:t>
      </w:r>
    </w:p>
    <w:p>
      <w:pPr>
        <w:pStyle w:val="FirstParagraph"/>
      </w:pPr>
      <w:r>
        <w:t xml:space="preserve">Urology grew just</w:t>
      </w:r>
      <w:r>
        <w:t xml:space="preserve"> </w:t>
      </w:r>
      <w:r>
        <w:rPr>
          <w:b/>
          <w:bCs/>
        </w:rPr>
        <w:t xml:space="preserve">0.5% organically in 1Q</w:t>
      </w:r>
      <w:r>
        <w:t xml:space="preserve">, pressured by China volume-based procurement effects in stone management, product gaps, and disruption within the sacral-neuromodulation commercial organization. Management has hired and trained a significant number of new commercial and clinical personnel and expects sequential improvement.</w:t>
      </w:r>
    </w:p>
    <w:p>
      <w:pPr>
        <w:pStyle w:val="BodyText"/>
      </w:pPr>
      <w:r>
        <w:t xml:space="preserve">Endoscopy was healthier, growing</w:t>
      </w:r>
      <w:r>
        <w:t xml:space="preserve"> </w:t>
      </w:r>
      <w:r>
        <w:rPr>
          <w:b/>
          <w:bCs/>
        </w:rPr>
        <w:t xml:space="preserve">6.8% organically in 1Q</w:t>
      </w:r>
      <w:r>
        <w:t xml:space="preserve">, though management flagged supply constraints around AXIOS and other transient disruptions in Q2.</w:t>
      </w:r>
    </w:p>
    <w:p>
      <w:pPr>
        <w:pStyle w:val="BodyText"/>
      </w:pPr>
      <w:r>
        <w:t xml:space="preserve">The read-through:</w:t>
      </w:r>
    </w:p>
    <w:p>
      <w:pPr>
        <w:pStyle w:val="Compact"/>
        <w:numPr>
          <w:ilvl w:val="0"/>
          <w:numId w:val="1003"/>
        </w:numPr>
      </w:pPr>
      <w:r>
        <w:rPr>
          <w:b/>
          <w:bCs/>
        </w:rPr>
        <w:t xml:space="preserve">Urology improvement</w:t>
      </w:r>
      <w:r>
        <w:t xml:space="preserve"> </w:t>
      </w:r>
      <w:r>
        <w:t xml:space="preserve">is necessary to support the expected second-half acceleration.</w:t>
      </w:r>
    </w:p>
    <w:p>
      <w:pPr>
        <w:pStyle w:val="Compact"/>
        <w:numPr>
          <w:ilvl w:val="0"/>
          <w:numId w:val="1003"/>
        </w:numPr>
      </w:pPr>
      <w:r>
        <w:rPr>
          <w:b/>
          <w:bCs/>
        </w:rPr>
        <w:t xml:space="preserve">Endoscopy supply constraints</w:t>
      </w:r>
      <w:r>
        <w:t xml:space="preserve"> </w:t>
      </w:r>
      <w:r>
        <w:t xml:space="preserve">should be temporary. If they linger, investors may question whether guidance has sufficient cushion.</w:t>
      </w:r>
    </w:p>
    <w:p>
      <w:pPr>
        <w:pStyle w:val="Compact"/>
        <w:numPr>
          <w:ilvl w:val="0"/>
          <w:numId w:val="1003"/>
        </w:numPr>
      </w:pPr>
      <w:r>
        <w:t xml:space="preserve">The launch trajectory of</w:t>
      </w:r>
      <w:r>
        <w:t xml:space="preserve"> </w:t>
      </w:r>
      <w:r>
        <w:rPr>
          <w:b/>
          <w:bCs/>
        </w:rPr>
        <w:t xml:space="preserve">Asurys</w:t>
      </w:r>
      <w:r>
        <w:t xml:space="preserve">, LithoVue Elite, the planned slim ureteroscope, and eCoin integration will matter more for 2027 than for this quarter, but management’s commentary will help assess the recovery path.</w:t>
      </w:r>
    </w:p>
    <w:bookmarkEnd w:id="13"/>
    <w:bookmarkEnd w:id="14"/>
    <w:bookmarkStart w:id="15" w:name="X4ee32b68b397b2059451166424dbbabfa2f07b0"/>
    <w:p>
      <w:pPr>
        <w:pStyle w:val="Heading2"/>
      </w:pPr>
      <w:r>
        <w:t xml:space="preserve">Earnings and margin: Meeting EPS may not be enough</w:t>
      </w:r>
    </w:p>
    <w:p>
      <w:pPr>
        <w:pStyle w:val="FirstParagraph"/>
      </w:pPr>
      <w:r>
        <w:t xml:space="preserve">At the midpoint, 2Q adjusted EPS of</w:t>
      </w:r>
      <w:r>
        <w:t xml:space="preserve"> </w:t>
      </w:r>
      <w:r>
        <w:rPr>
          <w:b/>
          <w:bCs/>
        </w:rPr>
        <w:t xml:space="preserve">$0.83</w:t>
      </w:r>
      <w:r>
        <w:t xml:space="preserve"> </w:t>
      </w:r>
      <w:r>
        <w:t xml:space="preserve">would be up about 11% year over year despite a sharp revenue-growth deceleration. That puts the focus on margin execution.</w:t>
      </w:r>
    </w:p>
    <w:p>
      <w:pPr>
        <w:pStyle w:val="BodyText"/>
      </w:pPr>
      <w:r>
        <w:t xml:space="preserve">In 1Q, adjusted gross margin declined 100 basis points year over year to</w:t>
      </w:r>
      <w:r>
        <w:t xml:space="preserve"> </w:t>
      </w:r>
      <w:r>
        <w:rPr>
          <w:b/>
          <w:bCs/>
        </w:rPr>
        <w:t xml:space="preserve">70.5%</w:t>
      </w:r>
      <w:r>
        <w:t xml:space="preserve">, reflecting tariffs and POLARx discontinuation-related inventory charges. Management nevertheless maintained its expectation for</w:t>
      </w:r>
      <w:r>
        <w:t xml:space="preserve"> </w:t>
      </w:r>
      <w:r>
        <w:rPr>
          <w:b/>
          <w:bCs/>
        </w:rPr>
        <w:t xml:space="preserve">50–75 basis points of full-year adjusted operating-margin expansion</w:t>
      </w:r>
      <w:r>
        <w:t xml:space="preserve">, largely through operating-expense controls and organizational efficiency efforts.</w:t>
      </w:r>
    </w:p>
    <w:p>
      <w:pPr>
        <w:pStyle w:val="BodyText"/>
      </w:pPr>
      <w:r>
        <w:t xml:space="preserve">The added complication is BSX’s restructuring announcement on</w:t>
      </w:r>
      <w:r>
        <w:t xml:space="preserve"> </w:t>
      </w:r>
      <w:r>
        <w:rPr>
          <w:b/>
          <w:bCs/>
        </w:rPr>
        <w:t xml:space="preserve">July 27, 2026</w:t>
      </w:r>
      <w:r>
        <w:t xml:space="preserve">. The company approved a program expected to generate:</w:t>
      </w:r>
    </w:p>
    <w:p>
      <w:pPr>
        <w:pStyle w:val="Compact"/>
        <w:numPr>
          <w:ilvl w:val="0"/>
          <w:numId w:val="1004"/>
        </w:numPr>
      </w:pPr>
      <m:oMath>
        <m:r>
          <m:t>700</m:t>
        </m:r>
        <m:r>
          <m:t>M</m:t>
        </m:r>
        <m:r>
          <m:rPr>
            <m:sty m:val="p"/>
          </m:rPr>
          <m:t>–</m:t>
        </m:r>
      </m:oMath>
      <w:r>
        <w:rPr>
          <w:b/>
          <w:bCs/>
        </w:rPr>
        <w:t xml:space="preserve">800M</w:t>
      </w:r>
      <w:r>
        <w:t xml:space="preserve"> </w:t>
      </w:r>
      <w:r>
        <w:t xml:space="preserve">of total pre-tax restructuring charges;</w:t>
      </w:r>
    </w:p>
    <w:p>
      <w:pPr>
        <w:pStyle w:val="Compact"/>
        <w:numPr>
          <w:ilvl w:val="0"/>
          <w:numId w:val="1004"/>
        </w:numPr>
      </w:pPr>
      <m:oMath>
        <m:r>
          <m:t>600</m:t>
        </m:r>
        <m:r>
          <m:t>M</m:t>
        </m:r>
        <m:r>
          <m:rPr>
            <m:sty m:val="p"/>
          </m:rPr>
          <m:t>–</m:t>
        </m:r>
      </m:oMath>
      <w:r>
        <w:rPr>
          <w:b/>
          <w:bCs/>
        </w:rPr>
        <w:t xml:space="preserve">700M</w:t>
      </w:r>
      <w:r>
        <w:t xml:space="preserve"> </w:t>
      </w:r>
      <w:r>
        <w:t xml:space="preserve">of future cash outlays;</w:t>
      </w:r>
    </w:p>
    <w:p>
      <w:pPr>
        <w:pStyle w:val="Compact"/>
        <w:numPr>
          <w:ilvl w:val="0"/>
          <w:numId w:val="1004"/>
        </w:numPr>
      </w:pPr>
      <w:r>
        <w:t xml:space="preserve">approximately</w:t>
      </w:r>
      <w:r>
        <w:t xml:space="preserve"> </w:t>
      </w:r>
      <w:r>
        <w:rPr>
          <w:b/>
          <w:bCs/>
        </w:rPr>
        <w:t xml:space="preserve">$500M of gross annual pre-tax expense reduction</w:t>
      </w:r>
      <w:r>
        <w:t xml:space="preserve"> </w:t>
      </w:r>
      <w:r>
        <w:t xml:space="preserve">as benefits are realized; and</w:t>
      </w:r>
    </w:p>
    <w:p>
      <w:pPr>
        <w:pStyle w:val="Compact"/>
        <w:numPr>
          <w:ilvl w:val="0"/>
          <w:numId w:val="1004"/>
        </w:numPr>
      </w:pPr>
      <w:r>
        <w:t xml:space="preserve">substantial reinvestment of the savings into strategic growth initiatives.</w:t>
      </w:r>
    </w:p>
    <w:p>
      <w:pPr>
        <w:pStyle w:val="FirstParagraph"/>
      </w:pPr>
      <w:r>
        <w:t xml:space="preserve">The program runs through 2029 and includes supply-chain optimization, manufacturing-line transfers, functional transformation, and organizational changes. It is strategically constructive if management can protect R&amp;D, commercial execution, and product supply—but it raises near-term questions around cash usage, implementation risk, and the quality of reported versus adjusted earnings.</w:t>
      </w:r>
    </w:p>
    <w:p>
      <w:pPr>
        <w:pStyle w:val="BodyText"/>
      </w:pPr>
      <w:r>
        <w:rPr>
          <w:b/>
          <w:bCs/>
        </w:rPr>
        <w:t xml:space="preserve">Key implication:</w:t>
      </w:r>
      <w:r>
        <w:t xml:space="preserve"> </w:t>
      </w:r>
      <w:r>
        <w:t xml:space="preserve">Investors should separate the near-term non-GAAP EPS effect from the more important question of whether the restructuring makes the long-term margin algorithm more credible.</w:t>
      </w:r>
    </w:p>
    <w:bookmarkEnd w:id="15"/>
    <w:bookmarkStart w:id="19" w:name="guidance-is-the-real-catalyst"/>
    <w:p>
      <w:pPr>
        <w:pStyle w:val="Heading2"/>
      </w:pPr>
      <w:r>
        <w:t xml:space="preserve">Guidance is the real catalyst</w:t>
      </w:r>
    </w:p>
    <w:p>
      <w:pPr>
        <w:pStyle w:val="FirstParagraph"/>
      </w:pPr>
      <w:r>
        <w:t xml:space="preserve">BSX’s current full-year framework is:</w:t>
      </w:r>
    </w:p>
    <w:p>
      <w:pPr>
        <w:pStyle w:val="Compact"/>
        <w:numPr>
          <w:ilvl w:val="0"/>
          <w:numId w:val="1005"/>
        </w:numPr>
      </w:pPr>
      <w:r>
        <w:rPr>
          <w:b/>
          <w:bCs/>
        </w:rPr>
        <w:t xml:space="preserve">6.5%–8.0% organic sales growth</w:t>
      </w:r>
    </w:p>
    <w:p>
      <w:pPr>
        <w:pStyle w:val="Compact"/>
        <w:numPr>
          <w:ilvl w:val="0"/>
          <w:numId w:val="1005"/>
        </w:numPr>
      </w:pPr>
      <w:r>
        <w:rPr>
          <w:b/>
          <w:bCs/>
        </w:rPr>
        <w:t xml:space="preserve">7.0%–8.5% reported sales growth</w:t>
      </w:r>
    </w:p>
    <w:p>
      <w:pPr>
        <w:pStyle w:val="Compact"/>
        <w:numPr>
          <w:ilvl w:val="0"/>
          <w:numId w:val="1005"/>
        </w:numPr>
      </w:pPr>
      <m:oMath>
        <m:r>
          <m:t>3.34</m:t>
        </m:r>
        <m:r>
          <m:rPr>
            <m:sty m:val="p"/>
          </m:rPr>
          <m:t>–</m:t>
        </m:r>
      </m:oMath>
      <w:r>
        <w:rPr>
          <w:b/>
          <w:bCs/>
        </w:rPr>
        <w:t xml:space="preserve">3.41 adjusted EPS</w:t>
      </w:r>
    </w:p>
    <w:p>
      <w:pPr>
        <w:pStyle w:val="Compact"/>
        <w:numPr>
          <w:ilvl w:val="0"/>
          <w:numId w:val="1005"/>
        </w:numPr>
      </w:pPr>
      <w:r>
        <w:t xml:space="preserve">approximately</w:t>
      </w:r>
      <w:r>
        <w:t xml:space="preserve"> </w:t>
      </w:r>
      <w:r>
        <w:rPr>
          <w:b/>
          <w:bCs/>
        </w:rPr>
        <w:t xml:space="preserve">$4B in free cash flow</w:t>
      </w:r>
    </w:p>
    <w:p>
      <w:pPr>
        <w:pStyle w:val="Compact"/>
        <w:numPr>
          <w:ilvl w:val="0"/>
          <w:numId w:val="1005"/>
        </w:numPr>
      </w:pPr>
      <w:r>
        <w:rPr>
          <w:b/>
          <w:bCs/>
        </w:rPr>
        <w:t xml:space="preserve">50–75 bps</w:t>
      </w:r>
      <w:r>
        <w:t xml:space="preserve"> </w:t>
      </w:r>
      <w:r>
        <w:t xml:space="preserve">of adjusted operating-margin expansion</w:t>
      </w:r>
    </w:p>
    <w:p>
      <w:pPr>
        <w:pStyle w:val="FirstParagraph"/>
      </w:pPr>
      <w:r>
        <w:t xml:space="preserve">Management characterized 2Q as the toughest quarter of the year and previously implied a modest recovery thereafter, toward roughly 7% growth in the second half. As a result:</w:t>
      </w:r>
    </w:p>
    <w:bookmarkStart w:id="16" w:name="bull-case"/>
    <w:p>
      <w:pPr>
        <w:pStyle w:val="Heading3"/>
      </w:pPr>
      <w:r>
        <w:t xml:space="preserve">Bull case</w:t>
      </w:r>
    </w:p>
    <w:p>
      <w:pPr>
        <w:pStyle w:val="FirstParagraph"/>
      </w:pPr>
      <w:r>
        <w:t xml:space="preserve">BSX reports organic growth toward the upper half of its 5%–7% range, meets or exceeds $0.84 adjusted EPS, confirms stabilization in U.S. EP and standalone WATCHMAN, and reiterates the full-year framework. With the shares substantially lower since April, a clean execution quarter could support a relief rally.</w:t>
      </w:r>
    </w:p>
    <w:bookmarkEnd w:id="16"/>
    <w:bookmarkStart w:id="17" w:name="base-case"/>
    <w:p>
      <w:pPr>
        <w:pStyle w:val="Heading3"/>
      </w:pPr>
      <w:r>
        <w:t xml:space="preserve">Base case</w:t>
      </w:r>
    </w:p>
    <w:p>
      <w:pPr>
        <w:pStyle w:val="FirstParagraph"/>
      </w:pPr>
      <w:r>
        <w:t xml:space="preserve">Organic growth lands near 5%–6%, adjusted EPS is around $0.83, and management maintains guidance but remains cautious on EP and WATCHMAN. This would validate the reset but may not be enough to drive a major rerating.</w:t>
      </w:r>
    </w:p>
    <w:bookmarkEnd w:id="17"/>
    <w:bookmarkStart w:id="18" w:name="bear-case"/>
    <w:p>
      <w:pPr>
        <w:pStyle w:val="Heading3"/>
      </w:pPr>
      <w:r>
        <w:t xml:space="preserve">Bear case</w:t>
      </w:r>
    </w:p>
    <w:p>
      <w:pPr>
        <w:pStyle w:val="FirstParagraph"/>
      </w:pPr>
      <w:r>
        <w:t xml:space="preserve">Organic growth misses the 5% floor, WATCHMAN standalone volumes remain weak, U.S. EP trends deteriorate further, or the company reduces its full-year growth or EPS range. The market is likely to view another cut as evidence that the 2026 issues are more structural than management has suggested.</w:t>
      </w:r>
    </w:p>
    <w:bookmarkEnd w:id="18"/>
    <w:bookmarkEnd w:id="19"/>
    <w:bookmarkStart w:id="20" w:name="Xdbd2acc684ccd6db3bf68571c48eea906cbfca6"/>
    <w:p>
      <w:pPr>
        <w:pStyle w:val="Heading2"/>
      </w:pPr>
      <w:r>
        <w:t xml:space="preserve">Capital allocation and strategic optionality</w:t>
      </w:r>
    </w:p>
    <w:p>
      <w:pPr>
        <w:pStyle w:val="FirstParagraph"/>
      </w:pPr>
      <w:r>
        <w:t xml:space="preserve">Boston Scientific is balancing a substantial investment agenda with shareholder returns:</w:t>
      </w:r>
    </w:p>
    <w:p>
      <w:pPr>
        <w:pStyle w:val="Compact"/>
        <w:numPr>
          <w:ilvl w:val="0"/>
          <w:numId w:val="1006"/>
        </w:numPr>
      </w:pPr>
      <w:r>
        <w:t xml:space="preserve">The company planned a</w:t>
      </w:r>
      <w:r>
        <w:t xml:space="preserve"> </w:t>
      </w:r>
      <w:r>
        <w:rPr>
          <w:b/>
          <w:bCs/>
        </w:rPr>
        <w:t xml:space="preserve">$2B accelerated share repurchase</w:t>
      </w:r>
      <w:r>
        <w:t xml:space="preserve"> </w:t>
      </w:r>
      <w:r>
        <w:t xml:space="preserve">in 2Q under a broader $5B authorization.</w:t>
      </w:r>
    </w:p>
    <w:p>
      <w:pPr>
        <w:pStyle w:val="Compact"/>
        <w:numPr>
          <w:ilvl w:val="0"/>
          <w:numId w:val="1006"/>
        </w:numPr>
      </w:pPr>
      <w:r>
        <w:t xml:space="preserve">Guidance previously excluded the pending</w:t>
      </w:r>
      <w:r>
        <w:t xml:space="preserve"> </w:t>
      </w:r>
      <w:r>
        <w:rPr>
          <w:b/>
          <w:bCs/>
        </w:rPr>
        <w:t xml:space="preserve">Penumbra acquisition</w:t>
      </w:r>
      <w:r>
        <w:t xml:space="preserve">, which management expected to close in the second half of 2026.</w:t>
      </w:r>
    </w:p>
    <w:p>
      <w:pPr>
        <w:pStyle w:val="Compact"/>
        <w:numPr>
          <w:ilvl w:val="0"/>
          <w:numId w:val="1006"/>
        </w:numPr>
      </w:pPr>
      <w:r>
        <w:t xml:space="preserve">BSX also invested</w:t>
      </w:r>
      <w:r>
        <w:t xml:space="preserve"> </w:t>
      </w:r>
      <m:oMath>
        <m:r>
          <m:t>1.5</m:t>
        </m:r>
        <m:r>
          <m:t>B</m:t>
        </m:r>
        <m:r>
          <m:rPr>
            <m:sty m:val="p"/>
          </m:rPr>
          <m:t>*</m:t>
        </m:r>
        <m:r>
          <m:rPr>
            <m:sty m:val="p"/>
          </m:rPr>
          <m:t>*</m:t>
        </m:r>
        <m:r>
          <m:t>i</m:t>
        </m:r>
        <m:r>
          <m:t>n</m:t>
        </m:r>
        <m:r>
          <m:t>M</m:t>
        </m:r>
        <m:r>
          <m:t>i</m:t>
        </m:r>
        <m:r>
          <m:t>R</m:t>
        </m:r>
        <m:r>
          <m:t>u</m:t>
        </m:r>
        <m:r>
          <m:t>s</m:t>
        </m:r>
        <m:r>
          <m:t>f</m:t>
        </m:r>
        <m:r>
          <m:t>o</m:t>
        </m:r>
        <m:r>
          <m:t>r</m:t>
        </m:r>
        <m:r>
          <m:t>a</m:t>
        </m:r>
        <m:r>
          <m:t>33.75</m:t>
        </m:r>
      </m:oMath>
      <w:r>
        <w:rPr>
          <w:b/>
          <w:bCs/>
        </w:rPr>
        <w:t xml:space="preserve">3B</w:t>
      </w:r>
      <w:r>
        <w:t xml:space="preserve"> </w:t>
      </w:r>
      <w:r>
        <w:t xml:space="preserve">upon specified clinical and regulatory milestones.</w:t>
      </w:r>
    </w:p>
    <w:p>
      <w:pPr>
        <w:pStyle w:val="FirstParagraph"/>
      </w:pPr>
      <w:r>
        <w:t xml:space="preserve">These moves reinforce management’s intent to remain aggressive in high-growth cardiovascular categories. But alongside the new restructuring program, they make cash deployment, leverage, transaction timing, and integration discipline important discussion points.</w:t>
      </w:r>
    </w:p>
    <w:bookmarkEnd w:id="20"/>
    <w:bookmarkStart w:id="21" w:name="questions-for-the-call"/>
    <w:p>
      <w:pPr>
        <w:pStyle w:val="Heading2"/>
      </w:pPr>
      <w:r>
        <w:t xml:space="preserve">Questions for the call</w:t>
      </w:r>
    </w:p>
    <w:p>
      <w:pPr>
        <w:pStyle w:val="Compact"/>
        <w:numPr>
          <w:ilvl w:val="0"/>
          <w:numId w:val="1007"/>
        </w:numPr>
      </w:pPr>
      <w:r>
        <w:rPr>
          <w:b/>
          <w:bCs/>
        </w:rPr>
        <w:t xml:space="preserve">EP:</w:t>
      </w:r>
      <w:r>
        <w:t xml:space="preserve"> </w:t>
      </w:r>
      <w:r>
        <w:t xml:space="preserve">What was U.S. EP growth in 2Q, and has FARAPULSE market-share erosion stabilized?</w:t>
      </w:r>
    </w:p>
    <w:p>
      <w:pPr>
        <w:pStyle w:val="Compact"/>
        <w:numPr>
          <w:ilvl w:val="0"/>
          <w:numId w:val="1007"/>
        </w:numPr>
      </w:pPr>
      <w:r>
        <w:rPr>
          <w:b/>
          <w:bCs/>
        </w:rPr>
        <w:t xml:space="preserve">WATCHMAN:</w:t>
      </w:r>
      <w:r>
        <w:t xml:space="preserve"> </w:t>
      </w:r>
      <w:r>
        <w:t xml:space="preserve">Did standalone procedures improve sequentially? How much growth is now coming from concomitant cases?</w:t>
      </w:r>
    </w:p>
    <w:p>
      <w:pPr>
        <w:pStyle w:val="Compact"/>
        <w:numPr>
          <w:ilvl w:val="0"/>
          <w:numId w:val="1007"/>
        </w:numPr>
      </w:pPr>
      <w:r>
        <w:rPr>
          <w:b/>
          <w:bCs/>
        </w:rPr>
        <w:t xml:space="preserve">Urology:</w:t>
      </w:r>
      <w:r>
        <w:t xml:space="preserve"> </w:t>
      </w:r>
      <w:r>
        <w:t xml:space="preserve">Is the sacral-neuromodulation salesforce rebuild producing measurable improvement in procedure activity?</w:t>
      </w:r>
    </w:p>
    <w:p>
      <w:pPr>
        <w:pStyle w:val="Compact"/>
        <w:numPr>
          <w:ilvl w:val="0"/>
          <w:numId w:val="1007"/>
        </w:numPr>
      </w:pPr>
      <w:r>
        <w:rPr>
          <w:b/>
          <w:bCs/>
        </w:rPr>
        <w:t xml:space="preserve">Endoscopy:</w:t>
      </w:r>
      <w:r>
        <w:t xml:space="preserve"> </w:t>
      </w:r>
      <w:r>
        <w:t xml:space="preserve">What is the magnitude and expected duration of AXIOS and other supply-chain constraints?</w:t>
      </w:r>
    </w:p>
    <w:p>
      <w:pPr>
        <w:pStyle w:val="Compact"/>
        <w:numPr>
          <w:ilvl w:val="0"/>
          <w:numId w:val="1007"/>
        </w:numPr>
      </w:pPr>
      <w:r>
        <w:rPr>
          <w:b/>
          <w:bCs/>
        </w:rPr>
        <w:t xml:space="preserve">Guidance:</w:t>
      </w:r>
      <w:r>
        <w:t xml:space="preserve"> </w:t>
      </w:r>
      <w:r>
        <w:t xml:space="preserve">Is second-half organic growth still expected to improve to roughly 7%, and what assumptions underpin that view?</w:t>
      </w:r>
    </w:p>
    <w:p>
      <w:pPr>
        <w:pStyle w:val="Compact"/>
        <w:numPr>
          <w:ilvl w:val="0"/>
          <w:numId w:val="1007"/>
        </w:numPr>
      </w:pPr>
      <w:r>
        <w:rPr>
          <w:b/>
          <w:bCs/>
        </w:rPr>
        <w:t xml:space="preserve">Margins:</w:t>
      </w:r>
      <w:r>
        <w:t xml:space="preserve"> </w:t>
      </w:r>
      <w:r>
        <w:t xml:space="preserve">Does the July restructuring change the 2026 operating-margin or free-cash-flow outlook?</w:t>
      </w:r>
    </w:p>
    <w:p>
      <w:pPr>
        <w:pStyle w:val="Compact"/>
        <w:numPr>
          <w:ilvl w:val="0"/>
          <w:numId w:val="1007"/>
        </w:numPr>
      </w:pPr>
      <w:r>
        <w:rPr>
          <w:b/>
          <w:bCs/>
        </w:rPr>
        <w:t xml:space="preserve">M&amp;A:</w:t>
      </w:r>
      <w:r>
        <w:t xml:space="preserve"> </w:t>
      </w:r>
      <w:r>
        <w:t xml:space="preserve">What is the latest timing and financing outlook for Penumbra, and how should investors think about its initial earnings contribution?</w:t>
      </w:r>
    </w:p>
    <w:p>
      <w:pPr>
        <w:pStyle w:val="Compact"/>
        <w:numPr>
          <w:ilvl w:val="0"/>
          <w:numId w:val="1007"/>
        </w:numPr>
      </w:pPr>
      <w:r>
        <w:rPr>
          <w:b/>
          <w:bCs/>
        </w:rPr>
        <w:t xml:space="preserve">2027:</w:t>
      </w:r>
      <w:r>
        <w:t xml:space="preserve"> </w:t>
      </w:r>
      <w:r>
        <w:t xml:space="preserve">Which product launches provide the clearest path back toward above-market growth next year?</w:t>
      </w:r>
    </w:p>
    <w:bookmarkEnd w:id="21"/>
    <w:bookmarkStart w:id="22" w:name="investment-view-into-the-print"/>
    <w:p>
      <w:pPr>
        <w:pStyle w:val="Heading2"/>
      </w:pPr>
      <w:r>
        <w:t xml:space="preserve">Investment view into the print</w:t>
      </w:r>
    </w:p>
    <w:p>
      <w:pPr>
        <w:pStyle w:val="FirstParagraph"/>
      </w:pPr>
      <w:r>
        <w:t xml:space="preserve">BSX remains a high-quality medtech franchise with leading positions in attractive procedure markets, a differentiated clinical pipeline, and meaningful long-term margin opportunity. However, this quarter is primarily a</w:t>
      </w:r>
      <w:r>
        <w:t xml:space="preserve"> </w:t>
      </w:r>
      <w:r>
        <w:rPr>
          <w:b/>
          <w:bCs/>
        </w:rPr>
        <w:t xml:space="preserve">credibility and stabilization test</w:t>
      </w:r>
      <w:r>
        <w:t xml:space="preserve">.</w:t>
      </w:r>
    </w:p>
    <w:p>
      <w:pPr>
        <w:pStyle w:val="BodyText"/>
      </w:pPr>
      <w:r>
        <w:t xml:space="preserve">A result near the low end of guidance can still work for the stock if it comes with tangible evidence that EP competition is manageable, WATCHMAN standalone trends are bottoming, Urology is improving, and the full-year guide is durable. Conversely, another reset would be especially damaging because management already framed 2Q as the trough quarter and positioned 2027 as the recovery year.</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2026-07-29T00:06:29Z</dcterms:created>
  <dcterms:modified xsi:type="dcterms:W3CDTF">2026-07-29T00:06:29Z</dcterms:modified>
</cp:coreProperties>
</file>

<file path=docProps/custom.xml><?xml version="1.0" encoding="utf-8"?>
<Properties xmlns="http://schemas.openxmlformats.org/officeDocument/2006/custom-properties" xmlns:vt="http://schemas.openxmlformats.org/officeDocument/2006/docPropsVTypes"/>
</file>