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xp-earnings-predictions--2026-07-28"/>
    <w:p>
      <w:pPr>
        <w:pStyle w:val="Heading1"/>
      </w:pPr>
      <w:r>
        <w:t xml:space="preserve">BXP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FFO per share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~$1.72 vs. cons $1.70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in-service occupancy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~88.0% vs. cons 87.9%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Same-property NOI (GAAP, BXP share, YoY)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~+1.9% vs. cons +2.0%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FFO/share guide (midpoint)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~$6.99 vs. cons $6.97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Year-end 2026 occupancy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~89% vs. cons 89% (YE2026)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leasing volume floor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~4.0M sq ft vs. cons 4.0M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343 Madison recap/pre-leasing progress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~35% committed vs. 29% prior (2026 recap)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interest expense assumption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~+$5M higher vs. cons flat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(FADE)</w:t>
            </w:r>
          </w:p>
        </w:tc>
        <w:tc>
          <w:tcPr/>
          <w:p>
            <w:pPr>
              <w:pStyle w:val="Compact"/>
            </w:pPr>
            <w:r>
              <w:t xml:space="preserve">Likely modest beat-and-raise (occupancy inflection, +$0.02 FFO habit) drives a small day-1 pop, but the print is flat-to-down FFO YoY leaning on lumpy termination income with a creeping interest-expense headwind, so out-period math implies little/no upward forward-estimate revision. After a ~36% rally off the April lows and ~17% since the Q1 print, expectations are elevated and the good news is largely priced, so an initial gain tends to fade back toward flat over the week barring a concrete 343 Madison JV/recap announcement.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2026-07-28T01:29:46Z</dcterms:created>
  <dcterms:modified xsi:type="dcterms:W3CDTF">2026-07-28T01:29:46Z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