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BXP thoroughly before writing the preview. Let me start by gathering recent earnings materials, filings, and news.Let me read the most recent earnings call transcript and release to understand guidance and key themes.Let me gather recent news/analyst context and check the year-ago Q2 for comparison points.Let me grab the year-ago Q2 2025 headline figures for a YoY comparison.I have strong fundamental data. Let me verify one notable item — the dividends payable line dropped materially (from ~</w:t>
      </w:r>
      <m:oMath>
        <m:r>
          <m:t>173</m:t>
        </m:r>
        <m:r>
          <m:t>M</m:t>
        </m:r>
        <m:r>
          <m:t>t</m:t>
        </m:r>
        <m:r>
          <m:t>o</m:t>
        </m:r>
        <m:r>
          <m:t> </m:t>
        </m:r>
      </m:oMath>
      <w:r>
        <w:t xml:space="preserve">124M), which may indicate a dividend change. Let me confirm and compute performance stats.I now have what I need. Let me quickly compute a few stock-performance stats to frame the setup.I have everything I need. Here is the preview.</w:t>
      </w:r>
    </w:p>
    <w:p>
      <w:r>
        <w:pict>
          <v:rect style="width:0;height:1.5pt" o:hralign="center" o:hrstd="t" o:hr="t"/>
        </w:pict>
      </w:r>
    </w:p>
    <w:bookmarkStart w:id="20" w:name="Xd52ebc9cf767733af4f945dcad120d9629ee880"/>
    <w:p>
      <w:pPr>
        <w:pStyle w:val="Heading1"/>
      </w:pPr>
      <w:r>
        <w:t xml:space="preserve">BXP, Inc. (NYSE: BXP) — Q2 2026 Earnings Preview</w:t>
      </w:r>
    </w:p>
    <w:bookmarkStart w:id="9" w:name="Xdb654dddad27a47ad62e62c6635c3e34547fa49"/>
    <w:p>
      <w:pPr>
        <w:pStyle w:val="Heading3"/>
      </w:pPr>
      <w:r>
        <w:t xml:space="preserve">Report: after market close, Tuesday, July 28, 2026 · Call: Wednesday, July 29, 10:00 AM ET</w:t>
      </w:r>
    </w:p>
    <w:bookmarkEnd w:id="9"/>
    <w:bookmarkStart w:id="10" w:name="the-one-line-setup"/>
    <w:p>
      <w:pPr>
        <w:pStyle w:val="Heading2"/>
      </w:pPr>
      <w:r>
        <w:t xml:space="preserve">The one-line setup</w:t>
      </w:r>
    </w:p>
    <w:p>
      <w:pPr>
        <w:pStyle w:val="FirstParagraph"/>
      </w:pPr>
      <w:r>
        <w:t xml:space="preserve">BXP goes into this print as a "the worst is behind us" recovery story that is finally showing up in the numbers. After a brutal drawdown to ~</w:t>
      </w:r>
      <m:oMath>
        <m:r>
          <m:t>51</m:t>
        </m:r>
        <m:r>
          <m:t>i</m:t>
        </m:r>
        <m:r>
          <m:t>n</m:t>
        </m:r>
        <m:r>
          <m:t>l</m:t>
        </m:r>
        <m:r>
          <m:t>a</m:t>
        </m:r>
        <m:r>
          <m:t>t</m:t>
        </m:r>
        <m:r>
          <m:t>e</m:t>
        </m:r>
        <m:r>
          <m:t>M</m:t>
        </m:r>
        <m:r>
          <m:t>a</m:t>
        </m:r>
        <m:r>
          <m:t>r</m:t>
        </m:r>
        <m:r>
          <m:t>c</m:t>
        </m:r>
        <m:r>
          <m:t>h</m:t>
        </m:r>
        <m:r>
          <m:rPr>
            <m:sty m:val="p"/>
          </m:rPr>
          <m:t>/</m:t>
        </m:r>
        <m:r>
          <m:t>e</m:t>
        </m:r>
        <m:r>
          <m:t>a</m:t>
        </m:r>
        <m:r>
          <m:t>r</m:t>
        </m:r>
        <m:r>
          <m:t>l</m:t>
        </m:r>
        <m:r>
          <m:t>y</m:t>
        </m:r>
        <m:r>
          <m:t>A</m:t>
        </m:r>
        <m:r>
          <m:t>p</m:t>
        </m:r>
        <m:r>
          <m:t>r</m:t>
        </m:r>
        <m:r>
          <m:t>i</m:t>
        </m:r>
        <m:r>
          <m:t>l</m:t>
        </m:r>
        <m:r>
          <m:t>2026</m:t>
        </m:r>
        <m:r>
          <m:rPr>
            <m:sty m:val="p"/>
          </m:rPr>
          <m:t>,</m:t>
        </m:r>
        <m:r>
          <m:t>t</m:t>
        </m:r>
        <m:r>
          <m:t>h</m:t>
        </m:r>
        <m:r>
          <m:t>e</m:t>
        </m:r>
        <m:r>
          <m:t>s</m:t>
        </m:r>
        <m:r>
          <m:t>t</m:t>
        </m:r>
        <m:r>
          <m:t>o</m:t>
        </m:r>
        <m:r>
          <m:t>c</m:t>
        </m:r>
        <m:r>
          <m:t>k</m:t>
        </m:r>
        <m:r>
          <m:t>h</m:t>
        </m:r>
        <m:r>
          <m:t>a</m:t>
        </m:r>
        <m:r>
          <m:t>s</m:t>
        </m:r>
        <m:r>
          <m:t>r</m:t>
        </m:r>
        <m:r>
          <m:t>a</m:t>
        </m:r>
        <m:r>
          <m:t>l</m:t>
        </m:r>
        <m:r>
          <m:t>l</m:t>
        </m:r>
        <m:r>
          <m:t>i</m:t>
        </m:r>
        <m:r>
          <m:t>e</m:t>
        </m:r>
        <m:r>
          <m:t>d</m:t>
        </m:r>
        <m:r>
          <m:t> </m:t>
        </m:r>
        <m:r>
          <m:t>36</m:t>
        </m:r>
      </m:oMath>
      <w:r>
        <w:t xml:space="preserve">69 it is still down ~4% year-over-year and up only ~2% YTD. The question for Tuesday is whether the occupancy inflection and AI-driven leasing momentum are durable enough to keep re-rating the stock, or whether the recovery has already priced in the good news.</w:t>
      </w:r>
    </w:p>
    <w:p>
      <w:r>
        <w:pict>
          <v:rect style="width:0;height:1.5pt" o:hralign="center" o:hrstd="t" o:hr="t"/>
        </w:pict>
      </w:r>
    </w:p>
    <w:bookmarkEnd w:id="10"/>
    <w:bookmarkStart w:id="11" w:name="the-numbers-that-matter"/>
    <w:p>
      <w:pPr>
        <w:pStyle w:val="Heading2"/>
      </w:pPr>
      <w:r>
        <w:t xml:space="preserve">The numbers that matter</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pPr>
            <w:r>
              <w:t xml:space="preserve">Q2 2026 guide</w:t>
            </w:r>
          </w:p>
        </w:tc>
        <w:tc>
          <w:tcPr/>
          <w:p>
            <w:pPr>
              <w:pStyle w:val="Compact"/>
            </w:pPr>
            <w:r>
              <w:t xml:space="preserve">Q2 2025 actual</w:t>
            </w:r>
          </w:p>
        </w:tc>
        <w:tc>
          <w:tcPr/>
          <w:p>
            <w:pPr>
              <w:pStyle w:val="Compact"/>
            </w:pPr>
            <w:r>
              <w:t xml:space="preserve">Full-year 2026 guide</w:t>
            </w:r>
          </w:p>
        </w:tc>
      </w:tr>
      <w:tr>
        <w:tc>
          <w:tcPr/>
          <w:p>
            <w:pPr>
              <w:pStyle w:val="Compact"/>
            </w:pPr>
            <w:r>
              <w:rPr>
                <w:b/>
                <w:bCs/>
              </w:rPr>
              <w:t xml:space="preserve">FFO / share</w:t>
            </w:r>
          </w:p>
        </w:tc>
        <w:tc>
          <w:tcPr/>
          <w:p>
            <w:pPr>
              <w:pStyle w:val="Compact"/>
            </w:pPr>
            <w:r>
              <w:rPr>
                <w:b/>
                <w:bCs/>
              </w:rPr>
              <w:t xml:space="preserve">$1.69 – $1.71</w:t>
            </w:r>
            <w:r>
              <w:t xml:space="preserve"> </w:t>
            </w:r>
            <w:r>
              <w:t xml:space="preserve">(mid $1.70)</w:t>
            </w:r>
          </w:p>
        </w:tc>
        <w:tc>
          <w:tcPr/>
          <w:p>
            <w:pPr>
              <w:pStyle w:val="Compact"/>
            </w:pPr>
            <w:r>
              <w:t xml:space="preserve">$1.71</w:t>
            </w:r>
          </w:p>
        </w:tc>
        <w:tc>
          <w:tcPr/>
          <w:p>
            <w:pPr>
              <w:pStyle w:val="Compact"/>
            </w:pPr>
            <w:r>
              <w:rPr>
                <w:b/>
                <w:bCs/>
              </w:rPr>
              <w:t xml:space="preserve">$6.90 – $7.04</w:t>
            </w:r>
            <w:r>
              <w:t xml:space="preserve"> </w:t>
            </w:r>
            <w:r>
              <w:t xml:space="preserve">(mid $6.97)</w:t>
            </w:r>
          </w:p>
        </w:tc>
      </w:tr>
      <w:tr>
        <w:tc>
          <w:tcPr/>
          <w:p>
            <w:pPr>
              <w:pStyle w:val="Compact"/>
            </w:pPr>
            <w:r>
              <w:rPr>
                <w:b/>
                <w:bCs/>
              </w:rPr>
              <w:t xml:space="preserve">EPS (diluted)</w:t>
            </w:r>
          </w:p>
        </w:tc>
        <w:tc>
          <w:tcPr/>
          <w:p>
            <w:pPr>
              <w:pStyle w:val="Compact"/>
            </w:pPr>
            <w:r>
              <w:t xml:space="preserve">$0.44 – $0.46</w:t>
            </w:r>
          </w:p>
        </w:tc>
        <w:tc>
          <w:tcPr/>
          <w:p>
            <w:pPr>
              <w:pStyle w:val="Compact"/>
            </w:pPr>
            <w:r>
              <w:t xml:space="preserve">$0.56</w:t>
            </w:r>
          </w:p>
        </w:tc>
        <w:tc>
          <w:tcPr/>
          <w:p>
            <w:pPr>
              <w:pStyle w:val="Compact"/>
            </w:pPr>
            <w:r>
              <w:t xml:space="preserve">$2.15 – $2.29</w:t>
            </w:r>
          </w:p>
        </w:tc>
      </w:tr>
    </w:tbl>
    <w:p>
      <w:pPr>
        <w:pStyle w:val="Compact"/>
        <w:numPr>
          <w:ilvl w:val="0"/>
          <w:numId w:val="1001"/>
        </w:numPr>
      </w:pPr>
      <w:r>
        <w:t xml:space="preserve">The Q2 FFO bar (~$1.70) is essentially</w:t>
      </w:r>
      <w:r>
        <w:t xml:space="preserve"> </w:t>
      </w:r>
      <w:r>
        <w:rPr>
          <w:b/>
          <w:bCs/>
        </w:rPr>
        <w:t xml:space="preserve">flat-to-slightly-down YoY</w:t>
      </w:r>
      <w:r>
        <w:t xml:space="preserve"> </w:t>
      </w:r>
      <w:r>
        <w:t xml:space="preserve">vs.</w:t>
      </w:r>
      <w:r>
        <w:t xml:space="preserve"> </w:t>
      </w:r>
      <m:oMath>
        <m:r>
          <m:t>1.71</m:t>
        </m:r>
        <m:r>
          <m:t>a</m:t>
        </m:r>
        <m:r>
          <m:t>y</m:t>
        </m:r>
        <m:r>
          <m:t>e</m:t>
        </m:r>
        <m:r>
          <m:t>a</m:t>
        </m:r>
        <m:r>
          <m:t>r</m:t>
        </m:r>
        <m:r>
          <m:t>a</m:t>
        </m:r>
        <m:r>
          <m:t>g</m:t>
        </m:r>
        <m:r>
          <m:t>o</m:t>
        </m:r>
        <m:r>
          <m:rPr>
            <m:sty m:val="p"/>
          </m:rPr>
          <m:t>—</m:t>
        </m:r>
        <m:r>
          <m:t>F</m:t>
        </m:r>
        <m:r>
          <m:t>F</m:t>
        </m:r>
        <m:r>
          <m:t>O</m:t>
        </m:r>
        <m:r>
          <m:t>i</m:t>
        </m:r>
        <m:r>
          <m:t>s</m:t>
        </m:r>
        <m:r>
          <m:t>t</m:t>
        </m:r>
        <m:r>
          <m:t>r</m:t>
        </m:r>
        <m:r>
          <m:t>o</m:t>
        </m:r>
        <m:r>
          <m:t>u</m:t>
        </m:r>
        <m:r>
          <m:t>g</m:t>
        </m:r>
        <m:r>
          <m:t>h</m:t>
        </m:r>
        <m:r>
          <m:t>i</m:t>
        </m:r>
        <m:r>
          <m:t>n</m:t>
        </m:r>
        <m:r>
          <m:t>g</m:t>
        </m:r>
        <m:r>
          <m:rPr>
            <m:sty m:val="p"/>
          </m:rPr>
          <m:t>,</m:t>
        </m:r>
        <m:r>
          <m:t>n</m:t>
        </m:r>
        <m:r>
          <m:t>o</m:t>
        </m:r>
        <m:r>
          <m:t>t</m:t>
        </m:r>
        <m:r>
          <m:t>y</m:t>
        </m:r>
        <m:r>
          <m:t>e</m:t>
        </m:r>
        <m:r>
          <m:t>t</m:t>
        </m:r>
        <m:r>
          <m:t>i</m:t>
        </m:r>
        <m:r>
          <m:t>n</m:t>
        </m:r>
        <m:r>
          <m:t>f</m:t>
        </m:r>
        <m:r>
          <m:t>l</m:t>
        </m:r>
        <m:r>
          <m:t>e</m:t>
        </m:r>
        <m:r>
          <m:t>c</m:t>
        </m:r>
        <m:r>
          <m:t>t</m:t>
        </m:r>
        <m:r>
          <m:t>i</m:t>
        </m:r>
        <m:r>
          <m:t>n</m:t>
        </m:r>
        <m:r>
          <m:t>g</m:t>
        </m:r>
        <m:r>
          <m:rPr>
            <m:sty m:val="p"/>
          </m:rPr>
          <m:t>.</m:t>
        </m:r>
        <m:r>
          <m:t>F</m:t>
        </m:r>
        <m:r>
          <m:t>u</m:t>
        </m:r>
        <m:r>
          <m:t>l</m:t>
        </m:r>
        <m:r>
          <m:t>l</m:t>
        </m:r>
        <m:r>
          <m:rPr>
            <m:sty m:val="p"/>
          </m:rPr>
          <m:t>−</m:t>
        </m:r>
        <m:r>
          <m:t>y</m:t>
        </m:r>
        <m:r>
          <m:t>e</m:t>
        </m:r>
        <m:r>
          <m:t>a</m:t>
        </m:r>
        <m:r>
          <m:t>r</m:t>
        </m:r>
        <m:r>
          <m:t>2026</m:t>
        </m:r>
        <m:r>
          <m:t>m</m:t>
        </m:r>
        <m:r>
          <m:t>i</m:t>
        </m:r>
        <m:r>
          <m:t>d</m:t>
        </m:r>
        <m:r>
          <m:t>p</m:t>
        </m:r>
        <m:r>
          <m:t>o</m:t>
        </m:r>
        <m:r>
          <m:t>i</m:t>
        </m:r>
        <m:r>
          <m:t>n</m:t>
        </m:r>
        <m:r>
          <m:t>t</m:t>
        </m:r>
        <m:r>
          <m:rPr>
            <m:sty m:val="p"/>
          </m:rPr>
          <m:t>(</m:t>
        </m:r>
        <m:r>
          <m:t> </m:t>
        </m:r>
      </m:oMath>
      <w:r>
        <w:t xml:space="preserve">6.97) is only modestly above 2025 (guided to ~</w:t>
      </w:r>
      <m:oMath>
        <m:r>
          <m:t>6.89</m:t>
        </m:r>
        <m:r>
          <m:rPr>
            <m:sty m:val="p"/>
          </m:rPr>
          <m:t>–</m:t>
        </m:r>
      </m:oMath>
      <w:r>
        <w:t xml:space="preserve">6.92), so the near-term earnings story is stabilization, with the</w:t>
      </w:r>
      <w:r>
        <w:t xml:space="preserve"> </w:t>
      </w:r>
      <w:r>
        <w:rPr>
          <w:i/>
          <w:iCs/>
        </w:rPr>
        <w:t xml:space="preserve">occupancy ramp</w:t>
      </w:r>
      <w:r>
        <w:t xml:space="preserve"> </w:t>
      </w:r>
      <w:r>
        <w:t xml:space="preserve">the real driver into 2027.</w:t>
      </w:r>
    </w:p>
    <w:p>
      <w:pPr>
        <w:pStyle w:val="Compact"/>
        <w:numPr>
          <w:ilvl w:val="0"/>
          <w:numId w:val="1001"/>
        </w:numPr>
      </w:pPr>
      <w:r>
        <w:t xml:space="preserve">BXP has a strong recent habit of</w:t>
      </w:r>
      <w:r>
        <w:t xml:space="preserve"> </w:t>
      </w:r>
      <w:r>
        <w:rPr>
          <w:b/>
          <w:bCs/>
        </w:rPr>
        <w:t xml:space="preserve">beating and raising</w:t>
      </w:r>
      <w:r>
        <w:t xml:space="preserve">: it topped the Q1 midpoint by $0.02, raised the FY FFO midpoint by $0.01 in April, and beat in each of the prior three quarters. Watch for another modest FY raise — and note management has been leaning on</w:t>
      </w:r>
      <w:r>
        <w:t xml:space="preserve"> </w:t>
      </w:r>
      <w:r>
        <w:rPr>
          <w:b/>
          <w:bCs/>
        </w:rPr>
        <w:t xml:space="preserve">termination income</w:t>
      </w:r>
      <w:r>
        <w:t xml:space="preserve"> </w:t>
      </w:r>
      <w:r>
        <w:t xml:space="preserve">(raised the FY assumption by $8M in April) to offset a rising interest-expense headwind.</w:t>
      </w:r>
    </w:p>
    <w:p>
      <w:r>
        <w:pict>
          <v:rect style="width:0;height:1.5pt" o:hralign="center" o:hrstd="t" o:hr="t"/>
        </w:pict>
      </w:r>
    </w:p>
    <w:bookmarkEnd w:id="11"/>
    <w:bookmarkStart w:id="17" w:name="what-to-focus-on"/>
    <w:p>
      <w:pPr>
        <w:pStyle w:val="Heading2"/>
      </w:pPr>
      <w:r>
        <w:t xml:space="preserve">What to focus on</w:t>
      </w:r>
    </w:p>
    <w:bookmarkStart w:id="12" w:name="Xd8b548754f9623f901ef7f9182844aaa5adebaa"/>
    <w:p>
      <w:pPr>
        <w:pStyle w:val="Heading3"/>
      </w:pPr>
      <w:r>
        <w:t xml:space="preserve">1) Occupancy inflection — the core of the thesis</w:t>
      </w:r>
    </w:p>
    <w:p>
      <w:pPr>
        <w:pStyle w:val="FirstParagraph"/>
      </w:pPr>
      <w:r>
        <w:t xml:space="preserve">This is the single most important line. BXP has strung together two straight quarters of gains, with total occupancy rising 70 bps to</w:t>
      </w:r>
      <w:r>
        <w:t xml:space="preserve"> </w:t>
      </w:r>
      <w:r>
        <w:rPr>
          <w:b/>
          <w:bCs/>
        </w:rPr>
        <w:t xml:space="preserve">87.4%</w:t>
      </w:r>
      <w:r>
        <w:t xml:space="preserve"> </w:t>
      </w:r>
      <w:r>
        <w:t xml:space="preserve">in Q1 (from 86.7% at YE25). Management set explicit targets:</w:t>
      </w:r>
      <w:r>
        <w:t xml:space="preserve"> </w:t>
      </w:r>
      <w:r>
        <w:rPr>
          <w:b/>
          <w:bCs/>
        </w:rPr>
        <w:t xml:space="preserve">~89% by year-end 2026 and ~91% by year-end 2027</w:t>
      </w:r>
      <w:r>
        <w:t xml:space="preserve"> </w:t>
      </w:r>
      <w:r>
        <w:t xml:space="preserve">(a cumulative +4 points over two years).</w:t>
      </w:r>
    </w:p>
    <w:p>
      <w:pPr>
        <w:pStyle w:val="BodyText"/>
      </w:pPr>
      <w:r>
        <w:t xml:space="preserve">Key tells to watch:</w:t>
      </w:r>
    </w:p>
    <w:p>
      <w:pPr>
        <w:pStyle w:val="Compact"/>
        <w:numPr>
          <w:ilvl w:val="0"/>
          <w:numId w:val="1002"/>
        </w:numPr>
      </w:pPr>
      <w:r>
        <w:rPr>
          <w:b/>
          <w:bCs/>
        </w:rPr>
        <w:t xml:space="preserve">The "signed-but-not-commenced" pipeline.</w:t>
      </w:r>
      <w:r>
        <w:t xml:space="preserve"> </w:t>
      </w:r>
      <w:r>
        <w:t xml:space="preserve">The spread between leased (90.9%) and occupied (87.4%) widened to ~350 bps in Q1 — roughly</w:t>
      </w:r>
      <w:r>
        <w:t xml:space="preserve"> </w:t>
      </w:r>
      <w:r>
        <w:rPr>
          <w:b/>
          <w:bCs/>
        </w:rPr>
        <w:t xml:space="preserve">1.6M sq ft of signed leases yet to hit revenue</w:t>
      </w:r>
      <w:r>
        <w:t xml:space="preserve">, ~90% of which commences in 2026. This is largely</w:t>
      </w:r>
      <w:r>
        <w:t xml:space="preserve"> </w:t>
      </w:r>
      <w:r>
        <w:rPr>
          <w:i/>
          <w:iCs/>
        </w:rPr>
        <w:t xml:space="preserve">contracted</w:t>
      </w:r>
      <w:r>
        <w:t xml:space="preserve"> </w:t>
      </w:r>
      <w:r>
        <w:t xml:space="preserve">future occupancy, so watch whether that backlog grows again and how much converted to occupied in Q2.</w:t>
      </w:r>
    </w:p>
    <w:p>
      <w:pPr>
        <w:pStyle w:val="Compact"/>
        <w:numPr>
          <w:ilvl w:val="0"/>
          <w:numId w:val="1002"/>
        </w:numPr>
      </w:pPr>
      <w:r>
        <w:t xml:space="preserve">Doug Linde's April math implied BXP could pick up ~150 bps of occupancy to ~89% by year-end "if nothing else changes," with 2026 expirations already whittled down to ~770K sq ft. Any commentary tightening or raising that trajectory is a positive catalyst.</w:t>
      </w:r>
    </w:p>
    <w:p>
      <w:pPr>
        <w:pStyle w:val="Compact"/>
        <w:numPr>
          <w:ilvl w:val="0"/>
          <w:numId w:val="1002"/>
        </w:numPr>
      </w:pPr>
      <w:r>
        <w:t xml:space="preserve">Watch the</w:t>
      </w:r>
      <w:r>
        <w:t xml:space="preserve"> </w:t>
      </w:r>
      <w:r>
        <w:rPr>
          <w:b/>
          <w:bCs/>
        </w:rPr>
        <w:t xml:space="preserve">average-occupancy FY guide</w:t>
      </w:r>
      <w:r>
        <w:t xml:space="preserve"> </w:t>
      </w:r>
      <w:r>
        <w:t xml:space="preserve">(raised to 88.25% in April) and</w:t>
      </w:r>
      <w:r>
        <w:t xml:space="preserve"> </w:t>
      </w:r>
      <w:r>
        <w:rPr>
          <w:b/>
          <w:bCs/>
        </w:rPr>
        <w:t xml:space="preserve">same-property NOI</w:t>
      </w:r>
      <w:r>
        <w:t xml:space="preserve"> </w:t>
      </w:r>
      <w:r>
        <w:t xml:space="preserve">(BXP-share GAAP guide of +1.4% to +2.4%; note the cash-basis figure was cut for free-rent/termination timing — don't overreact to a soft cash print).</w:t>
      </w:r>
    </w:p>
    <w:bookmarkEnd w:id="12"/>
    <w:bookmarkStart w:id="13" w:name="X0c8576450f84a74ab2f81bb73f6c81a23a06789"/>
    <w:p>
      <w:pPr>
        <w:pStyle w:val="Heading3"/>
      </w:pPr>
      <w:r>
        <w:t xml:space="preserve">2) Leasing volume and the AI demand narrative</w:t>
      </w:r>
    </w:p>
    <w:p>
      <w:pPr>
        <w:pStyle w:val="FirstParagraph"/>
      </w:pPr>
      <w:r>
        <w:t xml:space="preserve">BXP has guided to a</w:t>
      </w:r>
      <w:r>
        <w:t xml:space="preserve"> </w:t>
      </w:r>
      <w:r>
        <w:rPr>
          <w:b/>
          <w:bCs/>
        </w:rPr>
        <w:t xml:space="preserve">minimum of 4M sq ft of leasing in 2026</w:t>
      </w:r>
      <w:r>
        <w:t xml:space="preserve"> </w:t>
      </w:r>
      <w:r>
        <w:t xml:space="preserve">and did ~1.14M in Q1 (plus ~300K signed early in Q2). The bullish story is the shift in demand:</w:t>
      </w:r>
    </w:p>
    <w:p>
      <w:pPr>
        <w:pStyle w:val="Compact"/>
        <w:numPr>
          <w:ilvl w:val="0"/>
          <w:numId w:val="1003"/>
        </w:numPr>
      </w:pPr>
      <w:r>
        <w:rPr>
          <w:b/>
          <w:bCs/>
        </w:rPr>
        <w:t xml:space="preserve">San Francisco</w:t>
      </w:r>
      <w:r>
        <w:t xml:space="preserve"> </w:t>
      </w:r>
      <w:r>
        <w:t xml:space="preserve">is the standout — management said AI/tech grew to ~80% of market leasing demand in Q1, with ~3M sq ft of positive absorption over seven quarters. Watch 680 Folsom (92% leased) and Embarcadero Center.</w:t>
      </w:r>
    </w:p>
    <w:p>
      <w:pPr>
        <w:pStyle w:val="Compact"/>
        <w:numPr>
          <w:ilvl w:val="0"/>
          <w:numId w:val="1003"/>
        </w:numPr>
      </w:pPr>
      <w:r>
        <w:rPr>
          <w:b/>
          <w:bCs/>
        </w:rPr>
        <w:t xml:space="preserve">NYC Midtown South</w:t>
      </w:r>
      <w:r>
        <w:t xml:space="preserve"> </w:t>
      </w:r>
      <w:r>
        <w:t xml:space="preserve">is accelerating (360 Park Ave South up to ~90–95% leased; 200 Fifth nearly full). New AI names on the roster: Decagon, Snowflake, plus OpenAI/Anthropic/Databricks/Perplexity ecosystem tenants.</w:t>
      </w:r>
    </w:p>
    <w:p>
      <w:pPr>
        <w:pStyle w:val="Compact"/>
        <w:numPr>
          <w:ilvl w:val="0"/>
          <w:numId w:val="1003"/>
        </w:numPr>
      </w:pPr>
      <w:r>
        <w:t xml:space="preserve">The bear pushback (raised on the Q1 call): office has historically</w:t>
      </w:r>
      <w:r>
        <w:t xml:space="preserve"> </w:t>
      </w:r>
      <w:r>
        <w:rPr>
          <w:i/>
          <w:iCs/>
        </w:rPr>
        <w:t xml:space="preserve">not</w:t>
      </w:r>
      <w:r>
        <w:t xml:space="preserve"> </w:t>
      </w:r>
      <w:r>
        <w:t xml:space="preserve">grown with tech, and AI could eventually cut office-using headcount. Listen for whether the demand breadth extends beyond AI into financial/legal/business services — the traditional BXP tenant base.</w:t>
      </w:r>
    </w:p>
    <w:p>
      <w:pPr>
        <w:pStyle w:val="Compact"/>
        <w:numPr>
          <w:ilvl w:val="0"/>
          <w:numId w:val="1003"/>
        </w:numPr>
      </w:pPr>
      <w:r>
        <w:t xml:space="preserve">Also watch</w:t>
      </w:r>
      <w:r>
        <w:t xml:space="preserve"> </w:t>
      </w:r>
      <w:r>
        <w:rPr>
          <w:b/>
          <w:bCs/>
        </w:rPr>
        <w:t xml:space="preserve">leasing CapEx/concessions</w:t>
      </w:r>
      <w:r>
        <w:t xml:space="preserve">: Q1 leasing costs spiked to ~$175M (driven by early-renewal commencements); management guided FY transaction costs</w:t>
      </w:r>
      <w:r>
        <w:t xml:space="preserve"> </w:t>
      </w:r>
      <w:r>
        <w:rPr>
          <w:b/>
          <w:bCs/>
        </w:rPr>
        <w:t xml:space="preserve">in excess of $400M</w:t>
      </w:r>
      <w:r>
        <w:t xml:space="preserve">. Concessions are firming in the Back Bay, Midtown and Reston, but still elevated on the West Coast.</w:t>
      </w:r>
    </w:p>
    <w:bookmarkEnd w:id="13"/>
    <w:bookmarkStart w:id="14" w:name="X1dda1452c92ca11a97ae56409044c8f670eb998"/>
    <w:p>
      <w:pPr>
        <w:pStyle w:val="Heading3"/>
      </w:pPr>
      <w:r>
        <w:t xml:space="preserve">3) 343 Madison Avenue — the key idiosyncratic catalyst</w:t>
      </w:r>
    </w:p>
    <w:p>
      <w:pPr>
        <w:pStyle w:val="FirstParagraph"/>
      </w:pPr>
      <w:r>
        <w:t xml:space="preserve">BXP's flagship 930K sq ft Grand Central development is the most watched item. As of April:</w:t>
      </w:r>
    </w:p>
    <w:p>
      <w:pPr>
        <w:pStyle w:val="Compact"/>
        <w:numPr>
          <w:ilvl w:val="0"/>
          <w:numId w:val="1004"/>
        </w:numPr>
      </w:pPr>
      <w:r>
        <w:rPr>
          <w:b/>
          <w:bCs/>
        </w:rPr>
        <w:t xml:space="preserve">~29% committed</w:t>
      </w:r>
      <w:r>
        <w:t xml:space="preserve">, with another ~27% in negotiation (potential path to ~56% pre-let); targeting a</w:t>
      </w:r>
      <w:r>
        <w:t xml:space="preserve"> </w:t>
      </w:r>
      <w:r>
        <w:rPr>
          <w:b/>
          <w:bCs/>
        </w:rPr>
        <w:t xml:space="preserve">7.5–8.0% stabilized cash yield</w:t>
      </w:r>
      <w:r>
        <w:t xml:space="preserve"> </w:t>
      </w:r>
      <w:r>
        <w:t xml:space="preserve">on delivery in</w:t>
      </w:r>
      <w:r>
        <w:t xml:space="preserve"> </w:t>
      </w:r>
      <w:r>
        <w:rPr>
          <w:b/>
          <w:bCs/>
        </w:rPr>
        <w:t xml:space="preserve">2029</w:t>
      </w:r>
      <w:r>
        <w:t xml:space="preserve">.</w:t>
      </w:r>
    </w:p>
    <w:p>
      <w:pPr>
        <w:pStyle w:val="Compact"/>
        <w:numPr>
          <w:ilvl w:val="0"/>
          <w:numId w:val="1004"/>
        </w:numPr>
      </w:pPr>
      <w:r>
        <w:t xml:space="preserve">Management committed to completing a</w:t>
      </w:r>
      <w:r>
        <w:t xml:space="preserve"> </w:t>
      </w:r>
      <w:r>
        <w:rPr>
          <w:b/>
          <w:bCs/>
        </w:rPr>
        <w:t xml:space="preserve">recapitalization in 2026</w:t>
      </w:r>
      <w:r>
        <w:t xml:space="preserve"> </w:t>
      </w:r>
      <w:r>
        <w:t xml:space="preserve">— bringing in one or more equity partners for a 30–50% interest plus a bank-syndicate construction loan.</w:t>
      </w:r>
      <w:r>
        <w:t xml:space="preserve"> </w:t>
      </w:r>
      <w:r>
        <w:rPr>
          <w:b/>
          <w:bCs/>
        </w:rPr>
        <w:t xml:space="preserve">Any announcement of a JV partner and/or new pre-leasing would be a meaningful positive</w:t>
      </w:r>
      <w:r>
        <w:t xml:space="preserve"> </w:t>
      </w:r>
      <w:r>
        <w:t xml:space="preserve">(de-risks capital, frees balance-sheet capacity, and validates NYC premier-office values). Watch for updated leased %.</w:t>
      </w:r>
    </w:p>
    <w:p>
      <w:pPr>
        <w:pStyle w:val="Compact"/>
        <w:numPr>
          <w:ilvl w:val="0"/>
          <w:numId w:val="1004"/>
        </w:numPr>
      </w:pPr>
      <w:r>
        <w:t xml:space="preserve">Broader pipeline: 6 projects, ~3.4M sq ft, ~$3.6B of BXP investment; 290 Binney (AstraZeneca) delivered early. Multifamily is shifting to a lower-capital, fee-generating, minority-JV model (~20% equity stakes).</w:t>
      </w:r>
    </w:p>
    <w:bookmarkEnd w:id="14"/>
    <w:bookmarkStart w:id="15" w:name="X032c5cf3bedd73db8c429d9b0d876201b2ede54"/>
    <w:p>
      <w:pPr>
        <w:pStyle w:val="Heading3"/>
      </w:pPr>
      <w:r>
        <w:t xml:space="preserve">4) Capital recycling / dispositions</w:t>
      </w:r>
    </w:p>
    <w:p>
      <w:pPr>
        <w:pStyle w:val="FirstParagraph"/>
      </w:pPr>
      <w:r>
        <w:t xml:space="preserve">BXP is executing a plan to sell land, residential and non-strategic office for</w:t>
      </w:r>
      <w:r>
        <w:t xml:space="preserve"> </w:t>
      </w:r>
      <w:r>
        <w:rPr>
          <w:b/>
          <w:bCs/>
        </w:rPr>
        <w:t xml:space="preserve">~</w:t>
      </w:r>
      <m:oMath>
        <m:r>
          <m:t>1.9</m:t>
        </m:r>
        <m:r>
          <m:t>B</m:t>
        </m:r>
        <m:r>
          <m:t>o</m:t>
        </m:r>
        <m:r>
          <m:t>f</m:t>
        </m:r>
        <m:r>
          <m:t>n</m:t>
        </m:r>
        <m:r>
          <m:t>e</m:t>
        </m:r>
        <m:r>
          <m:t>t</m:t>
        </m:r>
        <m:r>
          <m:t>p</m:t>
        </m:r>
        <m:r>
          <m:t>r</m:t>
        </m:r>
        <m:r>
          <m:t>o</m:t>
        </m:r>
        <m:r>
          <m:t>c</m:t>
        </m:r>
        <m:r>
          <m:t>e</m:t>
        </m:r>
        <m:r>
          <m:t>e</m:t>
        </m:r>
        <m:r>
          <m:t>d</m:t>
        </m:r>
        <m:r>
          <m:t>s</m:t>
        </m:r>
        <m:r>
          <m:t>b</m:t>
        </m:r>
        <m:r>
          <m:t>y</m:t>
        </m:r>
        <m:r>
          <m:t>2028</m:t>
        </m:r>
        <m:r>
          <m:rPr>
            <m:sty m:val="p"/>
          </m:rPr>
          <m:t>*</m:t>
        </m:r>
        <m:r>
          <m:rPr>
            <m:sty m:val="p"/>
          </m:rPr>
          <m:t>*</m:t>
        </m:r>
        <m:r>
          <m:rPr>
            <m:sty m:val="p"/>
          </m:rPr>
          <m:t>.</m:t>
        </m:r>
        <m:r>
          <m:t>P</m:t>
        </m:r>
        <m:r>
          <m:t>r</m:t>
        </m:r>
        <m:r>
          <m:t>o</m:t>
        </m:r>
        <m:r>
          <m:t>g</m:t>
        </m:r>
        <m:r>
          <m:t>r</m:t>
        </m:r>
        <m:r>
          <m:t>e</m:t>
        </m:r>
        <m:r>
          <m:t>s</m:t>
        </m:r>
        <m:r>
          <m:t>s</m:t>
        </m:r>
        <m:r>
          <m:rPr>
            <m:sty m:val="p"/>
          </m:rPr>
          <m:t>:</m:t>
        </m:r>
        <m:r>
          <m:rPr>
            <m:sty m:val="p"/>
          </m:rPr>
          <m:t>*</m:t>
        </m:r>
        <m:r>
          <m:rPr>
            <m:sty m:val="p"/>
          </m:rPr>
          <m:t>*</m:t>
        </m:r>
        <m:r>
          <m:t> </m:t>
        </m:r>
      </m:oMath>
      <w:r>
        <w:rPr>
          <w:b/>
          <w:bCs/>
        </w:rPr>
        <w:t xml:space="preserve">1.2B closed since the Sept-2025 Investor Day</w:t>
      </w:r>
      <w:r>
        <w:t xml:space="preserve">, including ~</w:t>
      </w:r>
      <m:oMath>
        <m:r>
          <m:t>360</m:t>
        </m:r>
        <m:r>
          <m:t>M</m:t>
        </m:r>
        <m:r>
          <m:t>Y</m:t>
        </m:r>
        <m:r>
          <m:t>T</m:t>
        </m:r>
        <m:r>
          <m:t>D</m:t>
        </m:r>
        <m:r>
          <m:t>i</m:t>
        </m:r>
        <m:r>
          <m:t>n</m:t>
        </m:r>
        <m:r>
          <m:t>2026</m:t>
        </m:r>
        <m:r>
          <m:rPr>
            <m:sty m:val="p"/>
          </m:rPr>
          <m:t>,</m:t>
        </m:r>
        <m:r>
          <m:t>w</m:t>
        </m:r>
        <m:r>
          <m:t>i</m:t>
        </m:r>
        <m:r>
          <m:t>t</m:t>
        </m:r>
        <m:r>
          <m:t>h</m:t>
        </m:r>
        <m:r>
          <m:rPr>
            <m:sty m:val="p"/>
          </m:rPr>
          <m:t>*</m:t>
        </m:r>
        <m:r>
          <m:rPr>
            <m:sty m:val="p"/>
          </m:rPr>
          <m:t>*</m:t>
        </m:r>
        <m:r>
          <m:t>u</m:t>
        </m:r>
        <m:r>
          <m:t>p</m:t>
        </m:r>
        <m:r>
          <m:t>t</m:t>
        </m:r>
        <m:r>
          <m:t>o</m:t>
        </m:r>
        <m:r>
          <m:t> </m:t>
        </m:r>
      </m:oMath>
      <w:r>
        <w:t xml:space="preserve">400M more targeted in 2026** (now weighted toward non-strategic office and land, as the residential sales are largely done). Watch the pace, and the pricing signal — apartments sold at a mid-4% cap; the Marriott HQ exit fetched a 6.8% cap and a $35M gain. Owen Thomas has been flagging a</w:t>
      </w:r>
      <w:r>
        <w:t xml:space="preserve"> </w:t>
      </w:r>
      <w:r>
        <w:rPr>
          <w:i/>
          <w:iCs/>
        </w:rPr>
        <w:t xml:space="preserve">healthier</w:t>
      </w:r>
      <w:r>
        <w:t xml:space="preserve"> </w:t>
      </w:r>
      <w:r>
        <w:t xml:space="preserve">private office bid (Q1 sales volumes +72% YoY), which supports the disposition plan.</w:t>
      </w:r>
    </w:p>
    <w:bookmarkEnd w:id="15"/>
    <w:bookmarkStart w:id="16" w:name="X85b8ff59316db13d614693b6daef4a59a7d6719"/>
    <w:p>
      <w:pPr>
        <w:pStyle w:val="Heading3"/>
      </w:pPr>
      <w:r>
        <w:t xml:space="preserve">5) Balance sheet, interest expense, and the dividend</w:t>
      </w:r>
    </w:p>
    <w:p>
      <w:pPr>
        <w:pStyle w:val="Compact"/>
        <w:numPr>
          <w:ilvl w:val="0"/>
          <w:numId w:val="1005"/>
        </w:numPr>
      </w:pPr>
      <w:r>
        <w:rPr>
          <w:b/>
          <w:bCs/>
        </w:rPr>
        <w:t xml:space="preserve">Leverage</w:t>
      </w:r>
      <w:r>
        <w:t xml:space="preserve"> </w:t>
      </w:r>
      <w:r>
        <w:t xml:space="preserve">sits at ~</w:t>
      </w:r>
      <w:r>
        <w:rPr>
          <w:b/>
          <w:bCs/>
        </w:rPr>
        <w:t xml:space="preserve">8.0x net debt/EBITDA</w:t>
      </w:r>
      <w:r>
        <w:t xml:space="preserve">; deleveraging is a stated priority and the explicit reason management is</w:t>
      </w:r>
      <w:r>
        <w:t xml:space="preserve"> </w:t>
      </w:r>
      <w:r>
        <w:rPr>
          <w:b/>
          <w:bCs/>
        </w:rPr>
        <w:t xml:space="preserve">not buying back stock</w:t>
      </w:r>
      <w:r>
        <w:t xml:space="preserve"> </w:t>
      </w:r>
      <w:r>
        <w:t xml:space="preserve">(despite saying the implied "look-through" cap rate is "in the 7s" vs. comps in the 5s–6s — i.e., they think the stock is cheap).</w:t>
      </w:r>
    </w:p>
    <w:p>
      <w:pPr>
        <w:pStyle w:val="Compact"/>
        <w:numPr>
          <w:ilvl w:val="0"/>
          <w:numId w:val="1005"/>
        </w:numPr>
      </w:pPr>
      <w:r>
        <w:rPr>
          <w:b/>
          <w:bCs/>
        </w:rPr>
        <w:t xml:space="preserve">Interest expense is the main earnings headwind.</w:t>
      </w:r>
      <w:r>
        <w:t xml:space="preserve"> </w:t>
      </w:r>
      <w:r>
        <w:t xml:space="preserve">BXP raised its FY26 net-interest assumption by ~$10M in April and is now modeling</w:t>
      </w:r>
      <w:r>
        <w:t xml:space="preserve"> </w:t>
      </w:r>
      <w:r>
        <w:rPr>
          <w:b/>
          <w:bCs/>
        </w:rPr>
        <w:t xml:space="preserve">flat SOFR</w:t>
      </w:r>
      <w:r>
        <w:t xml:space="preserve"> </w:t>
      </w:r>
      <w:r>
        <w:t xml:space="preserve">(fewer Fed cuts). Commercial-paper spreads and any refinancing commentary matter — BXP raised $1B of 2.00% exchangeable notes in late 2025 and did a $465M green CMBS on The Hub on Causeway.</w:t>
      </w:r>
    </w:p>
    <w:p>
      <w:pPr>
        <w:pStyle w:val="Compact"/>
        <w:numPr>
          <w:ilvl w:val="0"/>
          <w:numId w:val="1005"/>
        </w:numPr>
      </w:pPr>
      <w:r>
        <w:rPr>
          <w:b/>
          <w:bCs/>
        </w:rPr>
        <w:t xml:space="preserve">Dividend watch:</w:t>
      </w:r>
      <w:r>
        <w:t xml:space="preserve"> </w:t>
      </w:r>
      <w:r>
        <w:t xml:space="preserve">BXP's balance-sheet "dividends and distributions payable" line fell from ~</w:t>
      </w:r>
      <m:oMath>
        <m:r>
          <m:t>172.5</m:t>
        </m:r>
        <m:r>
          <m:t>M</m:t>
        </m:r>
        <m:r>
          <m:rPr>
            <m:sty m:val="p"/>
          </m:rPr>
          <m:t>(</m:t>
        </m:r>
        <m:r>
          <m:t>m</m:t>
        </m:r>
        <m:r>
          <m:t>i</m:t>
        </m:r>
        <m:r>
          <m:t>d</m:t>
        </m:r>
        <m:r>
          <m:rPr>
            <m:sty m:val="p"/>
          </m:rPr>
          <m:t>−</m:t>
        </m:r>
        <m:r>
          <m:t>2025</m:t>
        </m:r>
        <m:r>
          <m:rPr>
            <m:sty m:val="p"/>
          </m:rPr>
          <m:t>)</m:t>
        </m:r>
        <m:r>
          <m:t>t</m:t>
        </m:r>
        <m:r>
          <m:t>o</m:t>
        </m:r>
        <m:r>
          <m:t> </m:t>
        </m:r>
      </m:oMath>
      <w:r>
        <w:t xml:space="preserve">123M (Q3 2025 onward), consistent with a **~28% reduction in the payout beginning in the second half of 2025** (to roughly ~$0.70/quarter). That reset frees cash for development and deleveraging, but confirm the current declared rate and any commentary on dividend policy given the still-recovering FFO.</w:t>
      </w:r>
    </w:p>
    <w:p>
      <w:r>
        <w:pict>
          <v:rect style="width:0;height:1.5pt" o:hralign="center" o:hrstd="t" o:hr="t"/>
        </w:pict>
      </w:r>
    </w:p>
    <w:bookmarkEnd w:id="16"/>
    <w:bookmarkEnd w:id="17"/>
    <w:bookmarkStart w:id="18" w:name="bull-vs-bear-into-the-print"/>
    <w:p>
      <w:pPr>
        <w:pStyle w:val="Heading2"/>
      </w:pPr>
      <w:r>
        <w:t xml:space="preserve">Bull vs. bear into the print</w:t>
      </w:r>
    </w:p>
    <w:p>
      <w:pPr>
        <w:pStyle w:val="FirstParagraph"/>
      </w:pPr>
      <w:r>
        <w:rPr>
          <w:b/>
          <w:bCs/>
        </w:rPr>
        <w:t xml:space="preserve">Bull case:</w:t>
      </w:r>
      <w:r>
        <w:t xml:space="preserve"> </w:t>
      </w:r>
      <w:r>
        <w:t xml:space="preserve">Occupancy has inflected positively for two straight quarters; the signed-not-commenced backlog (~1.6M sq ft) provides high visibility into 2026–27 revenue; AI demand in SF and Midtown South is real and accelerating; new office supply has "virtually halted," supporting rents in BXP's best submarkets; and a 343 Madison recap would de-risk the growth pipeline. Serial beat-and-raise track record.</w:t>
      </w:r>
    </w:p>
    <w:p>
      <w:pPr>
        <w:pStyle w:val="BodyText"/>
      </w:pPr>
      <w:r>
        <w:rPr>
          <w:b/>
          <w:bCs/>
        </w:rPr>
        <w:t xml:space="preserve">Bear case:</w:t>
      </w:r>
      <w:r>
        <w:t xml:space="preserve"> </w:t>
      </w:r>
      <w:r>
        <w:t xml:space="preserve">FFO is only flat-to-down YoY and leaning on lumpy termination income; interest expense keeps rising as the Fed stays higher-for-longer; ~8x leverage limits flexibility and rules out buybacks even with the stock arguably cheap on the company's own math; West Coast concessions remain heavy; and the AI-demand narrative is concentrated and could reverse if AI-driven headcount changes hit office-using jobs. After a 36% rally off the lows, expectations have risen.</w:t>
      </w:r>
    </w:p>
    <w:p>
      <w:r>
        <w:pict>
          <v:rect style="width:0;height:1.5pt" o:hralign="center" o:hrstd="t" o:hr="t"/>
        </w:pict>
      </w:r>
    </w:p>
    <w:bookmarkEnd w:id="18"/>
    <w:bookmarkStart w:id="19" w:name="bottom-line"/>
    <w:p>
      <w:pPr>
        <w:pStyle w:val="Heading2"/>
      </w:pPr>
      <w:r>
        <w:t xml:space="preserve">Bottom line</w:t>
      </w:r>
    </w:p>
    <w:p>
      <w:pPr>
        <w:pStyle w:val="FirstParagraph"/>
      </w:pPr>
      <w:r>
        <w:t xml:space="preserve">Investors should treat Q2 as a "prove the trajectory" quarter rather than an earnings-growth event. The headline FFO (~$1.70) will likely land in/around guidance; the stock reaction will hinge on the</w:t>
      </w:r>
      <w:r>
        <w:t xml:space="preserve"> </w:t>
      </w:r>
      <w:r>
        <w:rPr>
          <w:b/>
          <w:bCs/>
        </w:rPr>
        <w:t xml:space="preserve">occupancy print and the year-end ~89% path</w:t>
      </w:r>
      <w:r>
        <w:t xml:space="preserve">, the</w:t>
      </w:r>
      <w:r>
        <w:t xml:space="preserve"> </w:t>
      </w:r>
      <w:r>
        <w:rPr>
          <w:b/>
          <w:bCs/>
        </w:rPr>
        <w:t xml:space="preserve">leasing/SNO pipeline</w:t>
      </w:r>
      <w:r>
        <w:t xml:space="preserve">, any</w:t>
      </w:r>
      <w:r>
        <w:t xml:space="preserve"> </w:t>
      </w:r>
      <w:r>
        <w:rPr>
          <w:b/>
          <w:bCs/>
        </w:rPr>
        <w:t xml:space="preserve">343 Madison recap/JV news</w:t>
      </w:r>
      <w:r>
        <w:t xml:space="preserve">, and confirmation that the</w:t>
      </w:r>
      <w:r>
        <w:t xml:space="preserve"> </w:t>
      </w:r>
      <w:r>
        <w:rPr>
          <w:b/>
          <w:bCs/>
        </w:rPr>
        <w:t xml:space="preserve">disposition and deleveraging</w:t>
      </w:r>
      <w:r>
        <w:t xml:space="preserve"> </w:t>
      </w:r>
      <w:r>
        <w:t xml:space="preserve">plan is on track. A modest FY guidance raise plus a 343 Madison capital announcement would be the cleanest bull outcome; a soft cash-NOI number or a larger interest-expense creep are the most likely sources of disappointment.</w:t>
      </w:r>
    </w:p>
    <w:p>
      <w:pPr>
        <w:pStyle w:val="BodyText"/>
      </w:pPr>
      <w:r>
        <w:rPr>
          <w:i/>
          <w:iCs/>
        </w:rPr>
        <w:t xml:space="preserve">Note: Figures above are drawn from BXP's Q1 2026 (and prior 2025) earnings releases and conference-call commentary and from historical price data; they represent guidance and management targets, not results. Actual Q2 results and any updated guidance will be reported July 28.</w:t>
      </w:r>
    </w:p>
    <w:bookmarkEnd w:id="19"/>
    <w:bookmarkEnd w:id="2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2026-07-28T01:29:46Z</dcterms:created>
  <dcterms:modified xsi:type="dcterms:W3CDTF">2026-07-28T01:29:46Z</dcterms:modified>
</cp:coreProperties>
</file>

<file path=docProps/custom.xml><?xml version="1.0" encoding="utf-8"?>
<Properties xmlns="http://schemas.openxmlformats.org/officeDocument/2006/custom-properties" xmlns:vt="http://schemas.openxmlformats.org/officeDocument/2006/docPropsVTypes"/>
</file>