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xp-earnings-predictions--2026-07-28"/>
    <w:p>
      <w:pPr>
        <w:pStyle w:val="Heading1"/>
      </w:pPr>
      <w:r>
        <w:t xml:space="preserve">BXP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FFO per share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~$1.73 vs. cons $1.71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~$818M vs. cons $813M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In-Service Portfolio Occupancy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~88.0% vs. cons ~87.9%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FFO per share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6.95</m:t>
              </m:r>
              <m:r>
                <m:rPr>
                  <m:sty m:val="p"/>
                </m:rPr>
                <m:t>−</m:t>
              </m:r>
            </m:oMath>
            <w:r>
              <w:t xml:space="preserve">7.06 (mid $7.00) vs. cons $6.98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2.17</m:t>
              </m:r>
              <m:r>
                <m:rPr>
                  <m:sty m:val="p"/>
                </m:rPr>
                <m:t>−</m:t>
              </m:r>
            </m:oMath>
            <w:r>
              <w:t xml:space="preserve">2.29 (mid $2.23) vs. cons $2.22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Year-end 2026 occupancy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~89.0% vs. cons ~89.0% (year-end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incremental disposition proceeds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400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400M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+0.6% (FADE)</w:t>
            </w:r>
          </w:p>
        </w:tc>
        <w:tc>
          <w:tcPr/>
          <w:p>
            <w:pPr>
              <w:pStyle w:val="Compact"/>
            </w:pPr>
            <w:r>
              <w:t xml:space="preserve">Stock has already re-rated +30% off March lows and trades near 52-week highs into the print, so a modest FFO beat and an in-line-to-slightly-better FY26 guide (roughly matching the SLG-style read-through already priced in) likely produces an initial pop but limited incremental upside to out-period estimates; without a materially bigger guidance raise, higher-for-longer SOFR assumptions and ~8x leverage keep interest-expense risk in focus, and elevated leasing/TI costs temper FAD upside, causing some giveback over the following days as the initial reaction fades toward a smaller net residual.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2026-07-28T01:32:53Z</dcterms:created>
  <dcterms:modified xsi:type="dcterms:W3CDTF">2026-07-28T01:32:53Z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