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a5501bd286904d92b5fece982a85e1765a1dc5d"/>
    <w:p>
      <w:pPr>
        <w:pStyle w:val="Heading1"/>
      </w:pPr>
      <w:r>
        <w:t xml:space="preserve">BXP (Boston Properties) — Q2 2026 Earnings Preview</w:t>
      </w:r>
    </w:p>
    <w:p>
      <w:pPr>
        <w:pStyle w:val="FirstParagraph"/>
      </w:pPr>
      <w:r>
        <w:rPr>
          <w:b/>
          <w:bCs/>
        </w:rPr>
        <w:t xml:space="preserve">Report Date:</w:t>
      </w:r>
      <w:r>
        <w:t xml:space="preserve"> </w:t>
      </w:r>
      <w:r>
        <w:t xml:space="preserve">Tuesday, July 28, 2026 (after market close) |</w:t>
      </w:r>
      <w:r>
        <w:t xml:space="preserve"> </w:t>
      </w:r>
      <w:r>
        <w:rPr>
          <w:b/>
          <w:bCs/>
        </w:rPr>
        <w:t xml:space="preserve">Call:</w:t>
      </w:r>
      <w:r>
        <w:t xml:space="preserve"> </w:t>
      </w:r>
      <w:r>
        <w:t xml:space="preserve">July 29, 2026</w:t>
      </w:r>
    </w:p>
    <w:p>
      <w:r>
        <w:pict>
          <v:rect style="width:0;height:1.5pt" o:hralign="center" o:hrstd="t" o:hr="t"/>
        </w:pict>
      </w:r>
    </w:p>
    <w:bookmarkStart w:id="9" w:name="setup-into-the-print"/>
    <w:p>
      <w:pPr>
        <w:pStyle w:val="Heading2"/>
      </w:pPr>
      <w:r>
        <w:t xml:space="preserve">Setup Into the Print</w:t>
      </w:r>
    </w:p>
    <w:p>
      <w:pPr>
        <w:pStyle w:val="FirstParagraph"/>
      </w:pPr>
      <w:r>
        <w:t xml:space="preserve">BXP shares have staged a big rally into this print, climbing from a March low near $51-52 to roughly $69 today — a gain of more than 30% over the past three-plus months — as sentiment toward premier gateway-market office has turned decisively positive. The stock trades near 52-week highs and at an elevated P/E versus its own history, so expectations are not low.</w:t>
      </w:r>
    </w:p>
    <w:p>
      <w:pPr>
        <w:pStyle w:val="BodyText"/>
      </w:pPr>
      <w:r>
        <w:t xml:space="preserve">Consensus for the quarter:</w:t>
      </w:r>
      <w:r>
        <w:t xml:space="preserve"> </w:t>
      </w:r>
      <w:r>
        <w:rPr>
          <w:b/>
          <w:bCs/>
        </w:rPr>
        <w:t xml:space="preserve">revenue of ~</w:t>
      </w:r>
      <m:oMath>
        <m:r>
          <m:t>813</m:t>
        </m:r>
        <m:r>
          <m:t>m</m:t>
        </m:r>
        <m:r>
          <m:t>i</m:t>
        </m:r>
        <m:r>
          <m:t>l</m:t>
        </m:r>
        <m:r>
          <m:t>l</m:t>
        </m:r>
        <m:r>
          <m:t>i</m:t>
        </m:r>
        <m:r>
          <m:t>o</m:t>
        </m:r>
        <m:r>
          <m:t>n</m:t>
        </m:r>
        <m:r>
          <m:rPr>
            <m:sty m:val="p"/>
          </m:rPr>
          <m:t>*</m:t>
        </m:r>
        <m:r>
          <m:rPr>
            <m:sty m:val="p"/>
          </m:rPr>
          <m:t>*</m:t>
        </m:r>
        <m:r>
          <m:t>a</m:t>
        </m:r>
        <m:r>
          <m:t>n</m:t>
        </m:r>
        <m:r>
          <m:t>d</m:t>
        </m:r>
        <m:r>
          <m:rPr>
            <m:sty m:val="p"/>
          </m:rPr>
          <m:t>*</m:t>
        </m:r>
        <m:r>
          <m:rPr>
            <m:sty m:val="p"/>
          </m:rPr>
          <m:t>*</m:t>
        </m:r>
        <m:r>
          <m:t>F</m:t>
        </m:r>
        <m:r>
          <m:t>F</m:t>
        </m:r>
        <m:r>
          <m:t>O</m:t>
        </m:r>
        <m:r>
          <m:t>p</m:t>
        </m:r>
        <m:r>
          <m:t>e</m:t>
        </m:r>
        <m:r>
          <m:t>r</m:t>
        </m:r>
        <m:r>
          <m:t>s</m:t>
        </m:r>
        <m:r>
          <m:t>h</m:t>
        </m:r>
        <m:r>
          <m:t>a</m:t>
        </m:r>
        <m:r>
          <m:t>r</m:t>
        </m:r>
        <m:r>
          <m:t>e</m:t>
        </m:r>
        <m:r>
          <m:t>o</m:t>
        </m:r>
        <m:r>
          <m:t>f</m:t>
        </m:r>
        <m:r>
          <m:t> </m:t>
        </m:r>
      </m:oMath>
      <w:r>
        <w:rPr>
          <w:b/>
          <w:bCs/>
        </w:rPr>
        <w:t xml:space="preserve">1.71</w:t>
      </w:r>
      <w:r>
        <w:t xml:space="preserve">, which sits at the high end of BXP's own guidance range. That guidance, issued alongside Q1 results, called for Q2 FFO of</w:t>
      </w:r>
      <w:r>
        <w:t xml:space="preserve"> </w:t>
      </w:r>
      <m:oMath>
        <m:r>
          <m:t>1.69</m:t>
        </m:r>
        <m:r>
          <m:rPr>
            <m:sty m:val="p"/>
          </m:rPr>
          <m:t>–</m:t>
        </m:r>
      </m:oMath>
      <w:r>
        <w:rPr>
          <w:b/>
          <w:bCs/>
        </w:rPr>
        <w:t xml:space="preserve">1.71</w:t>
      </w:r>
      <w:r>
        <w:t xml:space="preserve"> </w:t>
      </w:r>
      <w:r>
        <w:t xml:space="preserve">and EPS of</w:t>
      </w:r>
      <w:r>
        <w:t xml:space="preserve"> </w:t>
      </w:r>
      <m:oMath>
        <m:r>
          <m:t>0.44</m:t>
        </m:r>
        <m:r>
          <m:rPr>
            <m:sty m:val="p"/>
          </m:rPr>
          <m:t>–</m:t>
        </m:r>
      </m:oMath>
      <w:r>
        <w:rPr>
          <w:b/>
          <w:bCs/>
        </w:rPr>
        <w:t xml:space="preserve">0.46</w:t>
      </w:r>
      <w:r>
        <w:t xml:space="preserve">, and full-year 2026 FFO of</w:t>
      </w:r>
      <w:r>
        <w:t xml:space="preserve"> </w:t>
      </w:r>
      <m:oMath>
        <m:r>
          <m:t>6.90</m:t>
        </m:r>
        <m:r>
          <m:rPr>
            <m:sty m:val="p"/>
          </m:rPr>
          <m:t>–</m:t>
        </m:r>
      </m:oMath>
      <w:r>
        <w:rPr>
          <w:b/>
          <w:bCs/>
        </w:rPr>
        <w:t xml:space="preserve">7.04</w:t>
      </w:r>
      <w:r>
        <w:t xml:space="preserve"> </w:t>
      </w:r>
      <w:r>
        <w:t xml:space="preserve">and EPS of</w:t>
      </w:r>
      <w:r>
        <w:t xml:space="preserve"> </w:t>
      </w:r>
      <m:oMath>
        <m:r>
          <m:t>2.15</m:t>
        </m:r>
        <m:r>
          <m:rPr>
            <m:sty m:val="p"/>
          </m:rPr>
          <m:t>–</m:t>
        </m:r>
      </m:oMath>
      <w:r>
        <w:rPr>
          <w:b/>
          <w:bCs/>
        </w:rPr>
        <w:t xml:space="preserve">2.29</w:t>
      </w:r>
      <w:r>
        <w:t xml:space="preserve">.</w:t>
      </w:r>
    </w:p>
    <w:p>
      <w:pPr>
        <w:pStyle w:val="BodyText"/>
      </w:pPr>
      <w:r>
        <w:t xml:space="preserve">BXP has a track record of modest beats — it topped estimates in three of the last four quarters — and enters this quarter with real fundamental momentum, not just multiple expansion.</w:t>
      </w:r>
    </w:p>
    <w:p>
      <w:r>
        <w:pict>
          <v:rect style="width:0;height:1.5pt" o:hralign="center" o:hrstd="t" o:hr="t"/>
        </w:pict>
      </w:r>
    </w:p>
    <w:bookmarkEnd w:id="9"/>
    <w:bookmarkStart w:id="10" w:name="what-drove-the-rally-the-q1-setup"/>
    <w:p>
      <w:pPr>
        <w:pStyle w:val="Heading2"/>
      </w:pPr>
      <w:r>
        <w:t xml:space="preserve">What Drove the Rally: The Q1 Setup</w:t>
      </w:r>
    </w:p>
    <w:p>
      <w:pPr>
        <w:pStyle w:val="FirstParagraph"/>
      </w:pPr>
      <w:r>
        <w:t xml:space="preserve">BXP's Q1 2026 results were the foundation for the recent re-rating. Management noted BXP had a successful first quarter, with FFO per share result exceeded our own estimate by $0.02 and 2026 FFO per share guidance was raised by $0.01. Importantly for the AI-demand narrative now embedded in the stock, CEO Owen Thomas said there is no question that AI has been and continues to be enormously beneficial to BXP's leasing activity despite the market anxiety regarding the impact of AI on job creation, adding that BXP is experiencing direct benefits by leasing space to AI companies in San Francisco, New York and Seattle.</w:t>
      </w:r>
    </w:p>
    <w:p>
      <w:pPr>
        <w:pStyle w:val="BodyText"/>
      </w:pPr>
      <w:r>
        <w:t xml:space="preserve">Occupancy has been steadily improving: in-service portfolio occupancy rose 70 basis points to 87.4% and the spread between our leased and occupied square footage widened 80 basis points to 3.5%. Management reiterated confidence in our target of 4 percentage points of total occupancy improvement over 2026 and 2027, with President Doug Linde specifically guiding to a</w:t>
      </w:r>
      <w:r>
        <w:t xml:space="preserve"> </w:t>
      </w:r>
      <w:r>
        <w:rPr>
          <w:b/>
          <w:bCs/>
        </w:rPr>
        <w:t xml:space="preserve">year-end 2026 occupancy target of ~89%</w:t>
      </w:r>
      <w:r>
        <w:t xml:space="preserve"> </w:t>
      </w:r>
      <w:r>
        <w:t xml:space="preserve">and a</w:t>
      </w:r>
      <w:r>
        <w:t xml:space="preserve"> </w:t>
      </w:r>
      <w:r>
        <w:rPr>
          <w:b/>
          <w:bCs/>
        </w:rPr>
        <w:t xml:space="preserve">2027 target near 91%</w:t>
      </w:r>
      <w:r>
        <w:t xml:space="preserve">.</w:t>
      </w:r>
    </w:p>
    <w:p>
      <w:pPr>
        <w:pStyle w:val="BodyText"/>
      </w:pPr>
      <w:r>
        <w:rPr>
          <w:b/>
          <w:bCs/>
        </w:rPr>
        <w:t xml:space="preserve">Key things to check for continuation/confirmation in Q2:</w:t>
      </w:r>
    </w:p>
    <w:p>
      <w:pPr>
        <w:pStyle w:val="Compact"/>
        <w:numPr>
          <w:ilvl w:val="0"/>
          <w:numId w:val="1001"/>
        </w:numPr>
      </w:pPr>
      <w:r>
        <w:t xml:space="preserve">Occupancy trending toward the 89% year-end target (was 87.4% at Q1-end; CBD portfolio occupancy was 89.9%)</w:t>
      </w:r>
    </w:p>
    <w:p>
      <w:pPr>
        <w:pStyle w:val="Compact"/>
        <w:numPr>
          <w:ilvl w:val="0"/>
          <w:numId w:val="1001"/>
        </w:numPr>
      </w:pPr>
      <w:r>
        <w:t xml:space="preserve">Progress on the ~1.6M sq ft of signed-but-not-commenced leases and the ~3.0M sq ft leasing pipeline disclosed at Q1</w:t>
      </w:r>
    </w:p>
    <w:p>
      <w:pPr>
        <w:pStyle w:val="Compact"/>
        <w:numPr>
          <w:ilvl w:val="0"/>
          <w:numId w:val="1001"/>
        </w:numPr>
      </w:pPr>
      <w:r>
        <w:t xml:space="preserve">Whether the "premier workplace" outperformance thesis continues — BXP noted direct vacancy for premier workplaces in its four core CBD markets running at 8.5% versus 13.8% for the broader office market, while asking rents for premier workplaces continue to command a premium of more than 60%</w:t>
      </w:r>
    </w:p>
    <w:p>
      <w:r>
        <w:pict>
          <v:rect style="width:0;height:1.5pt" o:hralign="center" o:hrstd="t" o:hr="t"/>
        </w:pict>
      </w:r>
    </w:p>
    <w:bookmarkEnd w:id="10"/>
    <w:bookmarkStart w:id="11" w:name="catalysts-and-watch-items-for-this-print"/>
    <w:p>
      <w:pPr>
        <w:pStyle w:val="Heading2"/>
      </w:pPr>
      <w:r>
        <w:t xml:space="preserve">Catalysts and Watch Items for This Print</w:t>
      </w:r>
    </w:p>
    <w:p>
      <w:pPr>
        <w:pStyle w:val="FirstParagraph"/>
      </w:pPr>
      <w:r>
        <w:rPr>
          <w:b/>
          <w:bCs/>
        </w:rPr>
        <w:t xml:space="preserve">1. 343 Madison Avenue recapitalization.</w:t>
      </w:r>
      <w:r>
        <w:t xml:space="preserve"> </w:t>
      </w:r>
      <w:r>
        <w:t xml:space="preserve">BXP's flagship New York City development is a major swing factor. As of Q1, the company had a lease commitment for 29% of the building and was negotiating leases with tenants for another 27% of the building, which will bring us to 56% committed. Management explicitly targeted completing the equity/debt recapitalization in 2026, with a projected stabilized unleveraged cash return of 7.5%–8% on delivery in 2029. Any update on JV partner selection, construction financing terms, or additional pre-leasing will move the stock.</w:t>
      </w:r>
    </w:p>
    <w:p>
      <w:pPr>
        <w:pStyle w:val="BodyText"/>
      </w:pPr>
      <w:r>
        <w:rPr>
          <w:b/>
          <w:bCs/>
        </w:rPr>
        <w:t xml:space="preserve">2. Disposition/capital-recycling pace.</w:t>
      </w:r>
      <w:r>
        <w:t xml:space="preserve"> </w:t>
      </w:r>
      <w:r>
        <w:t xml:space="preserve">BXP is executing a multi-year plan to sell non-core office, land, and residential assets, targeting approximately $1.9 billion in net aggregate sale proceeds by 2028. Through Q1 it had generated $1.2 billion since our investor conference and flagged up to an additional $400 million of further 2026 proceeds. Watch for confirmation of additional closings and updated 2026/2028 targets.</w:t>
      </w:r>
    </w:p>
    <w:p>
      <w:pPr>
        <w:pStyle w:val="BodyText"/>
      </w:pPr>
      <w:r>
        <w:rPr>
          <w:b/>
          <w:bCs/>
        </w:rPr>
        <w:t xml:space="preserve">3. Interest expense and leverage.</w:t>
      </w:r>
      <w:r>
        <w:t xml:space="preserve"> </w:t>
      </w:r>
      <w:r>
        <w:t xml:space="preserve">This remains the biggest offset to operating momentum. In Q1, net interest expense came in higher due to lower-than-anticipated interest income and higher commercial paper rates related to the market volatility in the fixed income markets, and management assumed SOFR rates are flat for the remainder of 2026 after concluding the likelihood of Fed cuts had diminished. Net debt/EBITDA sits around 8x, and CEO Thomas confirmed the company is prioritizing deleveraging over buybacks even though our stock is a very attractive investment, given that the look-through cap rate is in the 7s. Notably, macro backdrop into this print has shifted hawkish — markets have moved to price in a real (though still a minority) chance of a Fed rate hike this week amid an oil-price spike and geopolitical escalation, a dynamic that could pressure REIT sentiment broadly and raises the stakes on BXP's interest-expense commentary.</w:t>
      </w:r>
    </w:p>
    <w:p>
      <w:pPr>
        <w:pStyle w:val="BodyText"/>
      </w:pPr>
      <w:r>
        <w:rPr>
          <w:b/>
          <w:bCs/>
        </w:rPr>
        <w:t xml:space="preserve">4. Leasing costs / TI concessions.</w:t>
      </w:r>
      <w:r>
        <w:t xml:space="preserve"> </w:t>
      </w:r>
      <w:r>
        <w:t xml:space="preserve">CFO Mike LaBelle flagged that full-year leasing transaction costs would likely run in excess of $400 million based upon the occupancy growth that we anticipate — worth monitoring against FAD/free cash flow.</w:t>
      </w:r>
    </w:p>
    <w:p>
      <w:pPr>
        <w:pStyle w:val="BodyText"/>
      </w:pPr>
      <w:r>
        <w:rPr>
          <w:b/>
          <w:bCs/>
        </w:rPr>
        <w:t xml:space="preserve">5. Fresh leasing wins since Q1.</w:t>
      </w:r>
      <w:r>
        <w:t xml:space="preserve"> </w:t>
      </w:r>
      <w:r>
        <w:t xml:space="preserve">BXP announced a</w:t>
      </w:r>
      <w:r>
        <w:t xml:space="preserve"> </w:t>
      </w:r>
      <w:r>
        <w:rPr>
          <w:b/>
          <w:bCs/>
        </w:rPr>
        <w:t xml:space="preserve">320,000-square-foot lease with Boston Dynamics at Reservoir Place</w:t>
      </w:r>
      <w:r>
        <w:t xml:space="preserve"> </w:t>
      </w:r>
      <w:r>
        <w:t xml:space="preserve">in Waltham, MA in late June — a notable large-format win in the Urban Edge/life-science-adjacent portfolio that management had flagged as an area of bottoming demand and increasing robotics/hard-tech interest.</w:t>
      </w:r>
    </w:p>
    <w:p>
      <w:r>
        <w:pict>
          <v:rect style="width:0;height:1.5pt" o:hralign="center" o:hrstd="t" o:hr="t"/>
        </w:pict>
      </w:r>
    </w:p>
    <w:bookmarkEnd w:id="11"/>
    <w:bookmarkStart w:id="12" w:name="X18616ad7d9f5f9279414ae71265e4e8838c71d9"/>
    <w:p>
      <w:pPr>
        <w:pStyle w:val="Heading2"/>
      </w:pPr>
      <w:r>
        <w:t xml:space="preserve">Peer Read-Through: Bullish Signal from SL Green</w:t>
      </w:r>
    </w:p>
    <w:p>
      <w:pPr>
        <w:pStyle w:val="FirstParagraph"/>
      </w:pPr>
      <w:r>
        <w:t xml:space="preserve">Fellow NYC office landlord</w:t>
      </w:r>
      <w:r>
        <w:t xml:space="preserve"> </w:t>
      </w:r>
      <w:r>
        <w:rPr>
          <w:b/>
          <w:bCs/>
        </w:rPr>
        <w:t xml:space="preserve">SL Green (SLG)</w:t>
      </w:r>
      <w:r>
        <w:t xml:space="preserve"> </w:t>
      </w:r>
      <w:r>
        <w:t xml:space="preserve">reported Q2 results on July 22 that materially beat expectations and triggered a large guidance raise — a positive read-through given BXP's own large Midtown/Midtown South exposure. SL Green reported Q2 funds from operations of $1.43, beating Street expectations of $1.21, and raised its full-year FFO guidance to</w:t>
      </w:r>
      <w:r>
        <w:t xml:space="preserve"> </w:t>
      </w:r>
      <m:oMath>
        <m:r>
          <m:t>5.60</m:t>
        </m:r>
        <m:r>
          <m:rPr>
            <m:sty m:val="p"/>
          </m:rPr>
          <m:t>–</m:t>
        </m:r>
      </m:oMath>
      <w:r>
        <w:t xml:space="preserve">5.90 from a prior range of</w:t>
      </w:r>
      <w:r>
        <w:t xml:space="preserve"> </w:t>
      </w:r>
      <m:oMath>
        <m:r>
          <m:t>4.40</m:t>
        </m:r>
        <m:r>
          <m:rPr>
            <m:sty m:val="p"/>
          </m:rPr>
          <m:t>–</m:t>
        </m:r>
      </m:oMath>
      <w:r>
        <w:t xml:space="preserve">4.70, even as leasing volumes declined sequentially to 445,000 square feet from 929,000 in Q1, though mark-to-market on leases accelerated to +18% year-over-year. This corroborates BXP's own commentary about accelerating premier-office rent growth in New York.</w:t>
      </w:r>
    </w:p>
    <w:p>
      <w:r>
        <w:pict>
          <v:rect style="width:0;height:1.5pt" o:hralign="center" o:hrstd="t" o:hr="t"/>
        </w:pict>
      </w:r>
    </w:p>
    <w:bookmarkEnd w:id="12"/>
    <w:bookmarkStart w:id="13" w:name="bullbear-framework-into-the-print"/>
    <w:p>
      <w:pPr>
        <w:pStyle w:val="Heading2"/>
      </w:pPr>
      <w:r>
        <w:t xml:space="preserve">Bull/Bear Framework Into the Print</w:t>
      </w:r>
    </w:p>
    <w:p>
      <w:pPr>
        <w:pStyle w:val="FirstParagraph"/>
      </w:pPr>
      <w:r>
        <w:rPr>
          <w:b/>
          <w:bCs/>
        </w:rPr>
        <w:t xml:space="preserve">Bull case:</w:t>
      </w:r>
    </w:p>
    <w:p>
      <w:pPr>
        <w:pStyle w:val="Compact"/>
        <w:numPr>
          <w:ilvl w:val="0"/>
          <w:numId w:val="1002"/>
        </w:numPr>
      </w:pPr>
      <w:r>
        <w:t xml:space="preserve">Premier/Class A workplace outperformance is real and widening versus commodity office, giving BXP pricing power</w:t>
      </w:r>
    </w:p>
    <w:p>
      <w:pPr>
        <w:pStyle w:val="Compact"/>
        <w:numPr>
          <w:ilvl w:val="0"/>
          <w:numId w:val="1002"/>
        </w:numPr>
      </w:pPr>
      <w:r>
        <w:t xml:space="preserve">AI-driven leasing demand is broadening beyond San Francisco into New York (Midtown South) and other markets</w:t>
      </w:r>
    </w:p>
    <w:p>
      <w:pPr>
        <w:pStyle w:val="Compact"/>
        <w:numPr>
          <w:ilvl w:val="0"/>
          <w:numId w:val="1002"/>
        </w:numPr>
      </w:pPr>
      <w:r>
        <w:t xml:space="preserve">Disposition program is ahead of plan and de-risking the balance sheet while funding development</w:t>
      </w:r>
    </w:p>
    <w:p>
      <w:pPr>
        <w:pStyle w:val="Compact"/>
        <w:numPr>
          <w:ilvl w:val="0"/>
          <w:numId w:val="1002"/>
        </w:numPr>
      </w:pPr>
      <w:r>
        <w:t xml:space="preserve">343 Madison de-risking (pre-leasing, construction cost savings, financing progress) sets up an accretive 2026 capital event</w:t>
      </w:r>
    </w:p>
    <w:p>
      <w:pPr>
        <w:pStyle w:val="Compact"/>
        <w:numPr>
          <w:ilvl w:val="0"/>
          <w:numId w:val="1002"/>
        </w:numPr>
      </w:pPr>
      <w:r>
        <w:t xml:space="preserve">Peer results (SL Green) confirm NYC office momentum</w:t>
      </w:r>
    </w:p>
    <w:p>
      <w:pPr>
        <w:pStyle w:val="FirstParagraph"/>
      </w:pPr>
      <w:r>
        <w:rPr>
          <w:b/>
          <w:bCs/>
        </w:rPr>
        <w:t xml:space="preserve">Bear/watch case:</w:t>
      </w:r>
    </w:p>
    <w:p>
      <w:pPr>
        <w:pStyle w:val="Compact"/>
        <w:numPr>
          <w:ilvl w:val="0"/>
          <w:numId w:val="1003"/>
        </w:numPr>
      </w:pPr>
      <w:r>
        <w:t xml:space="preserve">Stock has already re-rated significantly (+30%+ off March lows), raising the bar for a "beat and hold" reaction</w:t>
      </w:r>
    </w:p>
    <w:p>
      <w:pPr>
        <w:pStyle w:val="Compact"/>
        <w:numPr>
          <w:ilvl w:val="0"/>
          <w:numId w:val="1003"/>
        </w:numPr>
      </w:pPr>
      <w:r>
        <w:t xml:space="preserve">Elevated leverage (~8x net debt/EBITDA) leaves BXP exposed to any hawkish shift in rate expectations — a live risk this week given rekindled Fed hike odds</w:t>
      </w:r>
    </w:p>
    <w:p>
      <w:pPr>
        <w:pStyle w:val="Compact"/>
        <w:numPr>
          <w:ilvl w:val="0"/>
          <w:numId w:val="1003"/>
        </w:numPr>
      </w:pPr>
      <w:r>
        <w:t xml:space="preserve">Non-premier/suburban and life-science segments remain structurally weaker, even if "bottoming"</w:t>
      </w:r>
    </w:p>
    <w:p>
      <w:pPr>
        <w:pStyle w:val="Compact"/>
        <w:numPr>
          <w:ilvl w:val="0"/>
          <w:numId w:val="1003"/>
        </w:numPr>
      </w:pPr>
      <w:r>
        <w:t xml:space="preserve">Heavy reliance on AI-related tenant demand concentration (particularly in SF) raises a question of durability if AI capex sentiment cools</w:t>
      </w:r>
    </w:p>
    <w:p>
      <w:pPr>
        <w:pStyle w:val="Compact"/>
        <w:numPr>
          <w:ilvl w:val="0"/>
          <w:numId w:val="1003"/>
        </w:numPr>
      </w:pPr>
      <w:r>
        <w:t xml:space="preserve">Elevated TI/leasing costs could compress free cash flow even as headline occupancy and FFO improve</w:t>
      </w:r>
    </w:p>
    <w:p>
      <w:r>
        <w:pict>
          <v:rect style="width:0;height:1.5pt" o:hralign="center" o:hrstd="t" o:hr="t"/>
        </w:pict>
      </w:r>
    </w:p>
    <w:bookmarkEnd w:id="13"/>
    <w:bookmarkStart w:id="14" w:name="bottom-line"/>
    <w:p>
      <w:pPr>
        <w:pStyle w:val="Heading2"/>
      </w:pPr>
      <w:r>
        <w:t xml:space="preserve">Bottom Line</w:t>
      </w:r>
    </w:p>
    <w:p>
      <w:pPr>
        <w:pStyle w:val="FirstParagraph"/>
      </w:pPr>
      <w:r>
        <w:t xml:space="preserve">Going into Tuesday's print, the operative questions are less about whether BXP beats a fairly modest consensus FFO bar (likely, given trend) and more about</w:t>
      </w:r>
      <w:r>
        <w:t xml:space="preserve"> </w:t>
      </w:r>
      <w:r>
        <w:rPr>
          <w:b/>
          <w:bCs/>
        </w:rPr>
        <w:t xml:space="preserve">guidance trajectory</w:t>
      </w:r>
      <w:r>
        <w:t xml:space="preserve"> </w:t>
      </w:r>
      <w:r>
        <w:t xml:space="preserve">(does full-year FFO get raised again from</w:t>
      </w:r>
      <w:r>
        <w:t xml:space="preserve"> </w:t>
      </w:r>
      <m:oMath>
        <m:r>
          <m:t>6.90</m:t>
        </m:r>
        <m:r>
          <m:rPr>
            <m:sty m:val="p"/>
          </m:rPr>
          <m:t>–</m:t>
        </m:r>
      </m:oMath>
      <w:r>
        <w:t xml:space="preserve">7.04),</w:t>
      </w:r>
      <w:r>
        <w:t xml:space="preserve"> </w:t>
      </w:r>
      <w:r>
        <w:rPr>
          <w:b/>
          <w:bCs/>
        </w:rPr>
        <w:t xml:space="preserve">occupancy pacing</w:t>
      </w:r>
      <w:r>
        <w:t xml:space="preserve"> </w:t>
      </w:r>
      <w:r>
        <w:t xml:space="preserve">toward the 89% 2026 exit target,</w:t>
      </w:r>
      <w:r>
        <w:t xml:space="preserve"> </w:t>
      </w:r>
      <w:r>
        <w:rPr>
          <w:b/>
          <w:bCs/>
        </w:rPr>
        <w:t xml:space="preserve">confirmation of a 343 Madison capital partner/financing timeline</w:t>
      </w:r>
      <w:r>
        <w:t xml:space="preserve">, and</w:t>
      </w:r>
      <w:r>
        <w:t xml:space="preserve"> </w:t>
      </w:r>
      <w:r>
        <w:rPr>
          <w:b/>
          <w:bCs/>
        </w:rPr>
        <w:t xml:space="preserve">commentary on interest-rate/leverage sensitivity</w:t>
      </w:r>
      <w:r>
        <w:t xml:space="preserve"> </w:t>
      </w:r>
      <w:r>
        <w:t xml:space="preserve">in a suddenly less dovish rate environment. With the stock up sharply and priced for continued execution, the market's reaction is likely to hinge more on forward commentary and the 343 Madison/disposition timeline than on the historical quarter itself.</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2026-07-28T01:32:53Z</dcterms:created>
  <dcterms:modified xsi:type="dcterms:W3CDTF">2026-07-28T01:32:53Z</dcterms:modified>
</cp:coreProperties>
</file>

<file path=docProps/custom.xml><?xml version="1.0" encoding="utf-8"?>
<Properties xmlns="http://schemas.openxmlformats.org/officeDocument/2006/custom-properties" xmlns:vt="http://schemas.openxmlformats.org/officeDocument/2006/docPropsVTypes"/>
</file>