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bxp-earnings-predictions--2026-07-28"/>
    <w:p>
      <w:pPr>
        <w:pStyle w:val="Heading1"/>
      </w:pPr>
      <w:r>
        <w:t xml:space="preserve">BXP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BXP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diluted FFO/share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~$1.72 vs. cons $1.70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BXP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in-service portfolio occupancy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~87.9% vs. cons 87.8%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BXP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leasing volume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~1.25m sq. ft. vs. cons 1.10m sq. ft.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BXP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Diluted FFO/share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~$7.00 vs. cons $6.98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BXP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Average in-service occupancy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~88.50% vs. cons 88.25%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BXP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Share of same-property NOI growth excluding termination income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~2.0% vs. cons 1.9%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BXP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BXP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+0.6% (FADE)</w:t>
            </w:r>
          </w:p>
        </w:tc>
        <w:tc>
          <w:tcPr/>
          <w:p>
            <w:pPr>
              <w:pStyle w:val="Compact"/>
            </w:pPr>
            <w:r>
              <w:t xml:space="preserve">The anticipated ~$0.02 Q2 FFO beat versus</w:t>
            </w:r>
            <w:r>
              <w:t xml:space="preserve"> </w:t>
            </w:r>
            <m:oMath>
              <m:r>
                <m:t>1.70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t>i</m:t>
              </m:r>
              <m:r>
                <m:t>s</m:t>
              </m:r>
              <m:r>
                <m:t>o</m:t>
              </m:r>
              <m:r>
                <m:t>n</m:t>
              </m:r>
              <m:r>
                <m:t>l</m:t>
              </m:r>
              <m:r>
                <m:t>y</m:t>
              </m:r>
              <m:r>
                <m:t>p</m:t>
              </m:r>
              <m:r>
                <m:t>a</m:t>
              </m:r>
              <m:r>
                <m:t>r</m:t>
              </m:r>
              <m:r>
                <m:t>t</m:t>
              </m:r>
              <m:r>
                <m:t>l</m:t>
              </m:r>
              <m:r>
                <m:t>y</m:t>
              </m:r>
              <m:r>
                <m:t>c</m:t>
              </m:r>
              <m:r>
                <m:t>a</m:t>
              </m:r>
              <m:r>
                <m:t>r</m:t>
              </m:r>
              <m:r>
                <m:t>r</m:t>
              </m:r>
              <m:r>
                <m:t>i</m:t>
              </m:r>
              <m:r>
                <m:t>e</m:t>
              </m:r>
              <m:r>
                <m:t>d</m:t>
              </m:r>
              <m:r>
                <m:t>i</m:t>
              </m:r>
              <m:r>
                <m:t>n</m:t>
              </m:r>
              <m:r>
                <m:t>t</m:t>
              </m:r>
              <m:r>
                <m:t>o</m:t>
              </m:r>
              <m:r>
                <m:t>t</m:t>
              </m:r>
              <m:r>
                <m:t>h</m:t>
              </m:r>
              <m:r>
                <m:t>e</m:t>
              </m:r>
              <m:r>
                <m:t> </m:t>
              </m:r>
            </m:oMath>
            <w:r>
              <w:t xml:space="preserve">7.00 FY2026 guide versus $6.98 consensus, implying limited positive out-period revisions as interest expense, asset-sale dilution and leasing capital offset occupancy-driven NOI upside.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2026-07-28T01:28:50Z</dcterms:created>
  <dcterms:modified xsi:type="dcterms:W3CDTF">2026-07-28T01:28:50Z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