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bxp-q2-2026-earnings-preview"/>
    <w:p>
      <w:pPr>
        <w:pStyle w:val="Heading1"/>
      </w:pPr>
      <w:r>
        <w:t xml:space="preserve">BXP Q2 2026 Earnings Preview</w:t>
      </w:r>
    </w:p>
    <w:p>
      <w:pPr>
        <w:pStyle w:val="BlockText"/>
      </w:pPr>
      <w:r>
        <w:rPr>
          <w:b/>
          <w:bCs/>
        </w:rPr>
        <w:t xml:space="preserve">Timing clarification:</w:t>
      </w:r>
      <w:r>
        <w:t xml:space="preserve"> </w:t>
      </w:r>
      <w:r>
        <w:t xml:space="preserve">BXP is scheduled to release Q2 results</w:t>
      </w:r>
      <w:r>
        <w:t xml:space="preserve"> </w:t>
      </w:r>
      <w:r>
        <w:rPr>
          <w:b/>
          <w:bCs/>
        </w:rPr>
        <w:t xml:space="preserve">today, Tuesday, July 28, 2026, after the NYSE close</w:t>
      </w:r>
      <w:r>
        <w:t xml:space="preserve">. The earnings call is</w:t>
      </w:r>
      <w:r>
        <w:t xml:space="preserve"> </w:t>
      </w:r>
      <w:r>
        <w:rPr>
          <w:b/>
          <w:bCs/>
        </w:rPr>
        <w:t xml:space="preserve">tomorrow, Wednesday, July 29, at 10:00 a.m. ET</w:t>
      </w:r>
      <w:r>
        <w:t xml:space="preserve">.</w:t>
      </w:r>
    </w:p>
    <w:bookmarkStart w:id="9" w:name="investment-setup"/>
    <w:p>
      <w:pPr>
        <w:pStyle w:val="Heading2"/>
      </w:pPr>
      <w:r>
        <w:t xml:space="preserve">Investment setup</w:t>
      </w:r>
    </w:p>
    <w:p>
      <w:pPr>
        <w:pStyle w:val="FirstParagraph"/>
      </w:pPr>
      <w:r>
        <w:t xml:space="preserve">BXP enters the quarter with a compelling operating narrative: demand for premier office space is improving, leasing is running ahead of last year’s plan, and signed-but-not-yet-occupied leases should drive a multi-year occupancy recovery.</w:t>
      </w:r>
    </w:p>
    <w:p>
      <w:pPr>
        <w:pStyle w:val="BodyText"/>
      </w:pPr>
      <w:r>
        <w:t xml:space="preserve">The question is no longer simply whether leasing activity has improved. Investors now need evidence that:</w:t>
      </w:r>
    </w:p>
    <w:p>
      <w:pPr>
        <w:pStyle w:val="Compact"/>
        <w:numPr>
          <w:ilvl w:val="0"/>
          <w:numId w:val="1001"/>
        </w:numPr>
      </w:pPr>
      <w:r>
        <w:t xml:space="preserve">leases are converting into occupancy and NOI;</w:t>
      </w:r>
    </w:p>
    <w:p>
      <w:pPr>
        <w:pStyle w:val="Compact"/>
        <w:numPr>
          <w:ilvl w:val="0"/>
          <w:numId w:val="1001"/>
        </w:numPr>
      </w:pPr>
      <w:r>
        <w:t xml:space="preserve">leasing economics are improving rather than merely leasing volume;</w:t>
      </w:r>
    </w:p>
    <w:p>
      <w:pPr>
        <w:pStyle w:val="Compact"/>
        <w:numPr>
          <w:ilvl w:val="0"/>
          <w:numId w:val="1001"/>
        </w:numPr>
      </w:pPr>
      <w:r>
        <w:t xml:space="preserve">asset sales and outside capital can fund the development pipeline without stressing leverage; and</w:t>
      </w:r>
    </w:p>
    <w:p>
      <w:pPr>
        <w:pStyle w:val="Compact"/>
        <w:numPr>
          <w:ilvl w:val="0"/>
          <w:numId w:val="1001"/>
        </w:numPr>
      </w:pPr>
      <w:r>
        <w:t xml:space="preserve">management can turn recent operating momentum into higher FFO guidance.</w:t>
      </w:r>
    </w:p>
    <w:p>
      <w:pPr>
        <w:pStyle w:val="FirstParagraph"/>
      </w:pPr>
      <w:r>
        <w:t xml:space="preserve">The stock closed at</w:t>
      </w:r>
      <w:r>
        <w:t xml:space="preserve"> </w:t>
      </w:r>
      <w:r>
        <w:rPr>
          <w:b/>
          <w:bCs/>
        </w:rPr>
        <w:t xml:space="preserve">$69.23 on July 27</w:t>
      </w:r>
      <w:r>
        <w:t xml:space="preserve">, up roughly</w:t>
      </w:r>
      <w:r>
        <w:t xml:space="preserve"> </w:t>
      </w:r>
      <w:r>
        <w:rPr>
          <w:b/>
          <w:bCs/>
        </w:rPr>
        <w:t xml:space="preserve">33% from March 31</w:t>
      </w:r>
      <w:r>
        <w:t xml:space="preserve"> </w:t>
      </w:r>
      <w:r>
        <w:t xml:space="preserve">and approximately</w:t>
      </w:r>
      <w:r>
        <w:t xml:space="preserve"> </w:t>
      </w:r>
      <w:r>
        <w:rPr>
          <w:b/>
          <w:bCs/>
        </w:rPr>
        <w:t xml:space="preserve">20% since the Q1 report</w:t>
      </w:r>
      <w:r>
        <w:t xml:space="preserve">. At that price, BXP trades around</w:t>
      </w:r>
      <w:r>
        <w:t xml:space="preserve"> </w:t>
      </w:r>
      <w:r>
        <w:rPr>
          <w:b/>
          <w:bCs/>
        </w:rPr>
        <w:t xml:space="preserve">9.9x the midpoint of 2026 FFO guidance</w:t>
      </w:r>
      <w:r>
        <w:t xml:space="preserve"> </w:t>
      </w:r>
      <w:r>
        <w:t xml:space="preserve">and offers an approximately</w:t>
      </w:r>
      <w:r>
        <w:t xml:space="preserve"> </w:t>
      </w:r>
      <w:r>
        <w:rPr>
          <w:b/>
          <w:bCs/>
        </w:rPr>
        <w:t xml:space="preserve">4.0% dividend yield</w:t>
      </w:r>
      <w:r>
        <w:t xml:space="preserve">. Expectations are therefore higher than they were three months ago, even though the stock remains only modestly positive year to date and has lagged the broader listed real-estate sector.</w:t>
      </w:r>
    </w:p>
    <w:p>
      <w:r>
        <w:pict>
          <v:rect style="width:0;height:1.5pt" o:hralign="center" o:hrstd="t" o:hr="t"/>
        </w:pict>
      </w:r>
    </w:p>
    <w:bookmarkEnd w:id="9"/>
    <w:bookmarkStart w:id="11" w:name="headline-financial-benchmarks"/>
    <w:p>
      <w:pPr>
        <w:pStyle w:val="Heading2"/>
      </w:pPr>
      <w:r>
        <w:t xml:space="preserve">Headline financial benchmarks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Q2 2026 management guidance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FFO/share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1.69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1.71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Diluted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0.44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0.46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FFO/share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6.90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7.04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Full-year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2.15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2.29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 average in-service occupancy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87.75%–88.75%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 share of same-property NOI growth, excluding termination income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1.4%–2.4%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FY cash same-property NOI growth, excluding termination income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-0.25% to +0.25%</w:t>
            </w:r>
          </w:p>
        </w:tc>
      </w:tr>
    </w:tbl>
    <w:p>
      <w:pPr>
        <w:pStyle w:val="BodyText"/>
      </w:pPr>
      <w:r>
        <w:t xml:space="preserve">The cleanest benchmark is</w:t>
      </w:r>
      <w:r>
        <w:t xml:space="preserve"> </w:t>
      </w:r>
      <w:r>
        <w:rPr>
          <w:b/>
          <w:bCs/>
        </w:rPr>
        <w:t xml:space="preserve">$1.70 of Q2 FFO per share</w:t>
      </w:r>
      <w:r>
        <w:t xml:space="preserve">, the midpoint of company guidance. More important than a small quarterly beat or miss will be the revised full-year range and underlying assumptions.</w:t>
      </w:r>
    </w:p>
    <w:bookmarkStart w:id="10" w:name="what-would-constitute-a-good-report"/>
    <w:p>
      <w:pPr>
        <w:pStyle w:val="Heading3"/>
      </w:pPr>
      <w:r>
        <w:t xml:space="preserve">What would constitute a good report?</w:t>
      </w:r>
    </w:p>
    <w:p>
      <w:pPr>
        <w:pStyle w:val="FirstParagraph"/>
      </w:pPr>
      <w:r>
        <w:t xml:space="preserve">A constructive result would likely include:</w:t>
      </w:r>
    </w:p>
    <w:p>
      <w:pPr>
        <w:pStyle w:val="Compact"/>
        <w:numPr>
          <w:ilvl w:val="0"/>
          <w:numId w:val="1002"/>
        </w:numPr>
      </w:pPr>
      <w:r>
        <w:t xml:space="preserve">Q2 FFO at or above</w:t>
      </w:r>
      <w:r>
        <w:t xml:space="preserve"> </w:t>
      </w:r>
      <w:r>
        <w:rPr>
          <w:b/>
          <w:bCs/>
        </w:rPr>
        <w:t xml:space="preserve">$1.70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full-year FFO guidance maintained or raised despite interest expense;</w:t>
      </w:r>
    </w:p>
    <w:p>
      <w:pPr>
        <w:pStyle w:val="Compact"/>
        <w:numPr>
          <w:ilvl w:val="0"/>
          <w:numId w:val="1002"/>
        </w:numPr>
      </w:pPr>
      <w:r>
        <w:t xml:space="preserve">total occupancy approaching or exceeding</w:t>
      </w:r>
      <w:r>
        <w:t xml:space="preserve"> </w:t>
      </w:r>
      <w:r>
        <w:rPr>
          <w:b/>
          <w:bCs/>
        </w:rPr>
        <w:t xml:space="preserve">88%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leased percentage remaining well above occupancy, with visible 2026 commencements;</w:t>
      </w:r>
    </w:p>
    <w:p>
      <w:pPr>
        <w:pStyle w:val="Compact"/>
        <w:numPr>
          <w:ilvl w:val="0"/>
          <w:numId w:val="1002"/>
        </w:numPr>
      </w:pPr>
      <w:r>
        <w:t xml:space="preserve">quarterly leasing around or above</w:t>
      </w:r>
      <w:r>
        <w:t xml:space="preserve"> </w:t>
      </w:r>
      <w:r>
        <w:rPr>
          <w:b/>
          <w:bCs/>
        </w:rPr>
        <w:t xml:space="preserve">1 million square feet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continued confidence in the</w:t>
      </w:r>
      <w:r>
        <w:t xml:space="preserve"> </w:t>
      </w:r>
      <w:r>
        <w:rPr>
          <w:b/>
          <w:bCs/>
        </w:rPr>
        <w:t xml:space="preserve">89% year-end occupancy target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progress converting the 343 Madison letters of intent into signed leases; and</w:t>
      </w:r>
    </w:p>
    <w:p>
      <w:pPr>
        <w:pStyle w:val="Compact"/>
        <w:numPr>
          <w:ilvl w:val="0"/>
          <w:numId w:val="1002"/>
        </w:numPr>
      </w:pPr>
      <w:r>
        <w:t xml:space="preserve">tangible deleveraging from asset sales and project-level capital.</w:t>
      </w:r>
    </w:p>
    <w:p>
      <w:pPr>
        <w:pStyle w:val="FirstParagraph"/>
      </w:pPr>
      <w:r>
        <w:t xml:space="preserve">A modest FFO beat driven mainly by termination income would be less valuable than a quarter showing stronger recurring rental revenue and future lease commencements.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4" w:name="X68ba9a1b1d22ae71684e679051c7a27f3b1476e"/>
    <w:p>
      <w:pPr>
        <w:pStyle w:val="Heading2"/>
      </w:pPr>
      <w:r>
        <w:t xml:space="preserve">1. Leasing is the central earnings driver</w:t>
      </w:r>
    </w:p>
    <w:p>
      <w:pPr>
        <w:pStyle w:val="FirstParagraph"/>
      </w:pPr>
      <w:r>
        <w:t xml:space="preserve">BXP ended Q1 with: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87.4% total portfolio occupancy</w:t>
      </w:r>
      <w:r>
        <w:t xml:space="preserve">, up 70 basis points sequentially;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90.9% leased</w:t>
      </w:r>
      <w:r>
        <w:t xml:space="preserve">, up 150 basis points;</w:t>
      </w:r>
    </w:p>
    <w:p>
      <w:pPr>
        <w:pStyle w:val="Compact"/>
        <w:numPr>
          <w:ilvl w:val="0"/>
          <w:numId w:val="1003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350-basis-point spread between leased and occupied space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1.6 million square feet of signed leases yet to commence</w:t>
      </w:r>
      <w:r>
        <w:t xml:space="preserve">; and</w:t>
      </w:r>
    </w:p>
    <w:p>
      <w:pPr>
        <w:pStyle w:val="Compact"/>
        <w:numPr>
          <w:ilvl w:val="0"/>
          <w:numId w:val="1003"/>
        </w:numPr>
      </w:pPr>
      <w:r>
        <w:t xml:space="preserve">more than</w:t>
      </w:r>
      <w:r>
        <w:t xml:space="preserve"> </w:t>
      </w:r>
      <w:r>
        <w:rPr>
          <w:b/>
          <w:bCs/>
        </w:rPr>
        <w:t xml:space="preserve">1.4 million square feet expected to commence by year-end 2026</w:t>
      </w:r>
      <w:r>
        <w:t xml:space="preserve">.</w:t>
      </w:r>
    </w:p>
    <w:p>
      <w:pPr>
        <w:pStyle w:val="FirstParagraph"/>
      </w:pPr>
      <w:r>
        <w:t xml:space="preserve">That spread is the core of the bull case. BXP has already signed much of the space needed to improve occupancy; the remaining issue is timing.</w:t>
      </w:r>
    </w:p>
    <w:p>
      <w:pPr>
        <w:pStyle w:val="BodyText"/>
      </w:pPr>
      <w:r>
        <w:t xml:space="preserve">Management estimated that, even with no additional leasing, known commencements and expirations could take occupancy to roughly</w:t>
      </w:r>
      <w:r>
        <w:t xml:space="preserve"> </w:t>
      </w:r>
      <w:r>
        <w:rPr>
          <w:b/>
          <w:bCs/>
        </w:rPr>
        <w:t xml:space="preserve">89% by year-end</w:t>
      </w:r>
      <w:r>
        <w:t xml:space="preserve">. It continues to target approximately</w:t>
      </w:r>
      <w:r>
        <w:t xml:space="preserve"> </w:t>
      </w:r>
      <w:r>
        <w:rPr>
          <w:b/>
          <w:bCs/>
        </w:rPr>
        <w:t xml:space="preserve">91% by the end of 2027</w:t>
      </w:r>
      <w:r>
        <w:t xml:space="preserve">.</w:t>
      </w:r>
    </w:p>
    <w:bookmarkStart w:id="12" w:name="leasing-momentum-appears-strong"/>
    <w:p>
      <w:pPr>
        <w:pStyle w:val="Heading3"/>
      </w:pPr>
      <w:r>
        <w:t xml:space="preserve">Leasing momentum appears strong</w:t>
      </w:r>
    </w:p>
    <w:p>
      <w:pPr>
        <w:pStyle w:val="FirstParagraph"/>
      </w:pPr>
      <w:r>
        <w:t xml:space="preserve">BXP executed</w:t>
      </w:r>
      <w:r>
        <w:t xml:space="preserve"> </w:t>
      </w:r>
      <w:r>
        <w:rPr>
          <w:b/>
          <w:bCs/>
        </w:rPr>
        <w:t xml:space="preserve">1.15 million square feet</w:t>
      </w:r>
      <w:r>
        <w:t xml:space="preserve"> </w:t>
      </w:r>
      <w:r>
        <w:t xml:space="preserve">of leases in Q1. At the June 2 REITweek conference, management said it had already completed</w:t>
      </w:r>
      <w:r>
        <w:t xml:space="preserve"> </w:t>
      </w:r>
      <w:r>
        <w:rPr>
          <w:b/>
          <w:bCs/>
        </w:rPr>
        <w:t xml:space="preserve">more than 800,000 square feet in Q2</w:t>
      </w:r>
      <w:r>
        <w:t xml:space="preserve">, implying year-to-date leasing above 1.9 million square feet two months into the quarter.</w:t>
      </w:r>
    </w:p>
    <w:p>
      <w:pPr>
        <w:pStyle w:val="BodyText"/>
      </w:pPr>
      <w:r>
        <w:t xml:space="preserve">Management also reported:</w:t>
      </w:r>
    </w:p>
    <w:p>
      <w:pPr>
        <w:pStyle w:val="Compact"/>
        <w:numPr>
          <w:ilvl w:val="0"/>
          <w:numId w:val="1004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2.3 million square feet under letter of intent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more than</w:t>
      </w:r>
      <w:r>
        <w:t xml:space="preserve"> </w:t>
      </w:r>
      <w:r>
        <w:rPr>
          <w:b/>
          <w:bCs/>
        </w:rPr>
        <w:t xml:space="preserve">1 million square feet of additional prospects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roughly</w:t>
      </w:r>
      <w:r>
        <w:t xml:space="preserve"> </w:t>
      </w:r>
      <w:r>
        <w:rPr>
          <w:b/>
          <w:bCs/>
        </w:rPr>
        <w:t xml:space="preserve">900,000 square feet of the LOI pipeline involving vacant space</w:t>
      </w:r>
      <w:r>
        <w:t xml:space="preserve">; and</w:t>
      </w:r>
    </w:p>
    <w:p>
      <w:pPr>
        <w:pStyle w:val="Compact"/>
        <w:numPr>
          <w:ilvl w:val="0"/>
          <w:numId w:val="1004"/>
        </w:numPr>
      </w:pPr>
      <w:r>
        <w:t xml:space="preserve">limited lease rollover during 2026 and 2027.</w:t>
      </w:r>
    </w:p>
    <w:p>
      <w:pPr>
        <w:pStyle w:val="FirstParagraph"/>
      </w:pPr>
      <w:r>
        <w:t xml:space="preserve">This leaves BXP well positioned against its minimum</w:t>
      </w:r>
      <w:r>
        <w:t xml:space="preserve"> </w:t>
      </w:r>
      <w:r>
        <w:rPr>
          <w:b/>
          <w:bCs/>
        </w:rPr>
        <w:t xml:space="preserve">4 million-square-foot 2026 leasing target</w:t>
      </w:r>
      <w:r>
        <w:t xml:space="preserve">.</w:t>
      </w:r>
    </w:p>
    <w:bookmarkEnd w:id="12"/>
    <w:bookmarkStart w:id="13" w:name="what-to-watch"/>
    <w:p>
      <w:pPr>
        <w:pStyle w:val="Heading3"/>
      </w:pPr>
      <w:r>
        <w:t xml:space="preserve">What to watch</w:t>
      </w:r>
    </w:p>
    <w:p>
      <w:pPr>
        <w:pStyle w:val="Compact"/>
        <w:numPr>
          <w:ilvl w:val="0"/>
          <w:numId w:val="1005"/>
        </w:numPr>
      </w:pPr>
      <w:r>
        <w:t xml:space="preserve">Q2 leasing volume and average lease term;</w:t>
      </w:r>
    </w:p>
    <w:p>
      <w:pPr>
        <w:pStyle w:val="Compact"/>
        <w:numPr>
          <w:ilvl w:val="0"/>
          <w:numId w:val="1005"/>
        </w:numPr>
      </w:pPr>
      <w:r>
        <w:t xml:space="preserve">leases on currently vacant space rather than renewals alone;</w:t>
      </w:r>
    </w:p>
    <w:p>
      <w:pPr>
        <w:pStyle w:val="Compact"/>
        <w:numPr>
          <w:ilvl w:val="0"/>
          <w:numId w:val="1005"/>
        </w:numPr>
      </w:pPr>
      <w:r>
        <w:t xml:space="preserve">occupancy and leased percentages by market;</w:t>
      </w:r>
    </w:p>
    <w:p>
      <w:pPr>
        <w:pStyle w:val="Compact"/>
        <w:numPr>
          <w:ilvl w:val="0"/>
          <w:numId w:val="1005"/>
        </w:numPr>
      </w:pPr>
      <w:r>
        <w:t xml:space="preserve">the amount of signed space scheduled to commence in the second half;</w:t>
      </w:r>
    </w:p>
    <w:p>
      <w:pPr>
        <w:pStyle w:val="Compact"/>
        <w:numPr>
          <w:ilvl w:val="0"/>
          <w:numId w:val="1005"/>
        </w:numPr>
      </w:pPr>
      <w:r>
        <w:t xml:space="preserve">remaining 2026 and 2027 expirations; and</w:t>
      </w:r>
    </w:p>
    <w:p>
      <w:pPr>
        <w:pStyle w:val="Compact"/>
        <w:numPr>
          <w:ilvl w:val="0"/>
          <w:numId w:val="1005"/>
        </w:numPr>
      </w:pPr>
      <w:r>
        <w:t xml:space="preserve">whether management raises its 89% year-end occupancy target.</w:t>
      </w:r>
    </w:p>
    <w:p>
      <w:r>
        <w:pict>
          <v:rect style="width:0;height:1.5pt" o:hralign="center" o:hrstd="t" o:hr="t"/>
        </w:pict>
      </w:r>
    </w:p>
    <w:bookmarkEnd w:id="13"/>
    <w:bookmarkEnd w:id="14"/>
    <w:bookmarkStart w:id="16" w:name="Xd135b58c8cac76103340942d40938d1b9186dc5"/>
    <w:p>
      <w:pPr>
        <w:pStyle w:val="Heading2"/>
      </w:pPr>
      <w:r>
        <w:t xml:space="preserve">2. Leasing economics matter as much as volume</w:t>
      </w:r>
    </w:p>
    <w:p>
      <w:pPr>
        <w:pStyle w:val="FirstParagraph"/>
      </w:pPr>
      <w:r>
        <w:t xml:space="preserve">Q1 leasing volume was strong, but portfolio-wide second-generation cash rents declined: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Q1 2026 executed leases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Gross cash rent change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Net cash rent change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portfolio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-1.9%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-3.2%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San Francisco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+10.2%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+15.4%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New York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-5.3%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-9.5%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Washington, DC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-5.2%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-7.6%</w:t>
            </w:r>
          </w:p>
        </w:tc>
      </w:tr>
      <w:tr>
        <w:tc>
          <w:tcPr/>
          <w:p>
            <w:pPr>
              <w:pStyle w:val="Compact"/>
            </w:pPr>
            <w:r>
              <w:t xml:space="preserve">Los Angeles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-32.5%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-47.6%</w:t>
            </w:r>
          </w:p>
        </w:tc>
      </w:tr>
    </w:tbl>
    <w:p>
      <w:pPr>
        <w:pStyle w:val="BodyText"/>
      </w:pPr>
      <w:r>
        <w:t xml:space="preserve">These comparisons can be distorted by the age and economics of expiring leases, but they show why headline square footage is not enough.</w:t>
      </w:r>
    </w:p>
    <w:p>
      <w:pPr>
        <w:pStyle w:val="BodyText"/>
      </w:pPr>
      <w:r>
        <w:t xml:space="preserve">At REITweek, management said market rents were increasing approximately: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15%</w:t>
      </w:r>
      <w:r>
        <w:t xml:space="preserve"> </w:t>
      </w:r>
      <w:r>
        <w:t xml:space="preserve">in the Park Avenue portion of Midtown Manhattan;</w:t>
      </w:r>
    </w:p>
    <w:p>
      <w:pPr>
        <w:pStyle w:val="Compact"/>
        <w:numPr>
          <w:ilvl w:val="0"/>
          <w:numId w:val="1006"/>
        </w:numPr>
      </w:pPr>
      <w:r>
        <w:t xml:space="preserve">close to</w:t>
      </w:r>
      <w:r>
        <w:t xml:space="preserve"> </w:t>
      </w:r>
      <w:r>
        <w:rPr>
          <w:b/>
          <w:bCs/>
        </w:rPr>
        <w:t xml:space="preserve">10%</w:t>
      </w:r>
      <w:r>
        <w:t xml:space="preserve"> </w:t>
      </w:r>
      <w:r>
        <w:t xml:space="preserve">in Boston’s Back Bay; and</w:t>
      </w:r>
    </w:p>
    <w:p>
      <w:pPr>
        <w:pStyle w:val="Compact"/>
        <w:numPr>
          <w:ilvl w:val="0"/>
          <w:numId w:val="1006"/>
        </w:numPr>
      </w:pPr>
      <w:r>
        <w:t xml:space="preserve">high single digits in Reston.</w:t>
      </w:r>
    </w:p>
    <w:p>
      <w:pPr>
        <w:pStyle w:val="FirstParagraph"/>
      </w:pPr>
      <w:r>
        <w:t xml:space="preserve">Management also indicated that concessions were beginning to decline in those tighter markets. Q2 leasing statistics should show whether those comments are flowing through to signed economics.</w:t>
      </w:r>
    </w:p>
    <w:bookmarkStart w:id="15" w:name="Xa906d43be6bb61d701a5fde50df68e082a039c1"/>
    <w:p>
      <w:pPr>
        <w:pStyle w:val="Heading3"/>
      </w:pPr>
      <w:r>
        <w:t xml:space="preserve">Capital intensity is another important test</w:t>
      </w:r>
    </w:p>
    <w:p>
      <w:pPr>
        <w:pStyle w:val="FirstParagraph"/>
      </w:pPr>
      <w:r>
        <w:t xml:space="preserve">Q1 second-generation tenant improvements and leasing commissions totaled</w:t>
      </w:r>
      <w:r>
        <w:t xml:space="preserve"> </w:t>
      </w:r>
      <w:r>
        <w:rPr>
          <w:b/>
          <w:bCs/>
        </w:rPr>
        <w:t xml:space="preserve">$178 million</w:t>
      </w:r>
      <w:r>
        <w:t xml:space="preserve">, reflecting an unusually large</w:t>
      </w:r>
      <w:r>
        <w:t xml:space="preserve"> </w:t>
      </w:r>
      <w:r>
        <w:rPr>
          <w:b/>
          <w:bCs/>
        </w:rPr>
        <w:t xml:space="preserve">2.3 million square feet of lease commencements</w:t>
      </w:r>
      <w:r>
        <w:t xml:space="preserve">. Management raised its expectation for full-year leasing costs to</w:t>
      </w:r>
      <w:r>
        <w:t xml:space="preserve"> </w:t>
      </w:r>
      <w:r>
        <w:rPr>
          <w:b/>
          <w:bCs/>
        </w:rPr>
        <w:t xml:space="preserve">more than $400 million</w:t>
      </w:r>
      <w:r>
        <w:t xml:space="preserve">.</w:t>
      </w:r>
    </w:p>
    <w:p>
      <w:pPr>
        <w:pStyle w:val="BodyText"/>
      </w:pPr>
      <w:r>
        <w:t xml:space="preserve">Consequently, Q1 funds available for distribution were only</w:t>
      </w:r>
      <w:r>
        <w:t xml:space="preserve"> </w:t>
      </w:r>
      <w:r>
        <w:rPr>
          <w:b/>
          <w:bCs/>
        </w:rPr>
        <w:t xml:space="preserve">$88.7 million</w:t>
      </w:r>
      <w:r>
        <w:t xml:space="preserve">, producing a</w:t>
      </w:r>
      <w:r>
        <w:t xml:space="preserve"> </w:t>
      </w:r>
      <w:r>
        <w:rPr>
          <w:b/>
          <w:bCs/>
        </w:rPr>
        <w:t xml:space="preserve">140% FAD payout ratio</w:t>
      </w:r>
      <w:r>
        <w:t xml:space="preserve">. Management described this as a timing effect from unusually heavy commencements, but investors should monitor:</w:t>
      </w:r>
    </w:p>
    <w:p>
      <w:pPr>
        <w:pStyle w:val="Compact"/>
        <w:numPr>
          <w:ilvl w:val="0"/>
          <w:numId w:val="1007"/>
        </w:numPr>
      </w:pPr>
      <w:r>
        <w:t xml:space="preserve">recurring leasing costs per square foot per lease year;</w:t>
      </w:r>
    </w:p>
    <w:p>
      <w:pPr>
        <w:pStyle w:val="Compact"/>
        <w:numPr>
          <w:ilvl w:val="0"/>
          <w:numId w:val="1007"/>
        </w:numPr>
      </w:pPr>
      <w:r>
        <w:t xml:space="preserve">free-rent periods;</w:t>
      </w:r>
    </w:p>
    <w:p>
      <w:pPr>
        <w:pStyle w:val="Compact"/>
        <w:numPr>
          <w:ilvl w:val="0"/>
          <w:numId w:val="1007"/>
        </w:numPr>
      </w:pPr>
      <w:r>
        <w:t xml:space="preserve">FAD recovery in Q2;</w:t>
      </w:r>
    </w:p>
    <w:p>
      <w:pPr>
        <w:pStyle w:val="Compact"/>
        <w:numPr>
          <w:ilvl w:val="0"/>
          <w:numId w:val="1007"/>
        </w:numPr>
      </w:pPr>
      <w:r>
        <w:t xml:space="preserve">full-year leasing-capital guidance; and</w:t>
      </w:r>
    </w:p>
    <w:p>
      <w:pPr>
        <w:pStyle w:val="Compact"/>
        <w:numPr>
          <w:ilvl w:val="0"/>
          <w:numId w:val="1007"/>
        </w:numPr>
      </w:pPr>
      <w:r>
        <w:t xml:space="preserve">cash dividend coverage.</w:t>
      </w:r>
    </w:p>
    <w:p>
      <w:pPr>
        <w:pStyle w:val="FirstParagraph"/>
      </w:pPr>
      <w:r>
        <w:t xml:space="preserve">BXP’s annualized dividend is $2.80 per share and remains well covered by FFO, but near-term cash coverage is much less smooth.</w:t>
      </w:r>
    </w:p>
    <w:p>
      <w:r>
        <w:pict>
          <v:rect style="width:0;height:1.5pt" o:hralign="center" o:hrstd="t" o:hr="t"/>
        </w:pict>
      </w:r>
    </w:p>
    <w:bookmarkEnd w:id="15"/>
    <w:bookmarkEnd w:id="16"/>
    <w:bookmarkStart w:id="21" w:name="Xba61194a4386e7c555a79df8f95ef364926b3db"/>
    <w:p>
      <w:pPr>
        <w:pStyle w:val="Heading2"/>
      </w:pPr>
      <w:r>
        <w:t xml:space="preserve">3. Market-by-market operating signals</w:t>
      </w:r>
    </w:p>
    <w:bookmarkStart w:id="17" w:name="X1053e9ed9c41f699c75ad5155fa569708d0bf38"/>
    <w:p>
      <w:pPr>
        <w:pStyle w:val="Heading3"/>
      </w:pPr>
      <w:r>
        <w:t xml:space="preserve">New York: strongest pricing, largest embedded rent opportunity</w:t>
      </w:r>
    </w:p>
    <w:p>
      <w:pPr>
        <w:pStyle w:val="FirstParagraph"/>
      </w:pPr>
      <w:r>
        <w:t xml:space="preserve">New York is central to the occupancy thesis. At the end of Q1:</w:t>
      </w:r>
    </w:p>
    <w:p>
      <w:pPr>
        <w:pStyle w:val="Compact"/>
        <w:numPr>
          <w:ilvl w:val="0"/>
          <w:numId w:val="1008"/>
        </w:numPr>
      </w:pPr>
      <w:r>
        <w:t xml:space="preserve">New York CBD occupancy was</w:t>
      </w:r>
      <w:r>
        <w:t xml:space="preserve"> </w:t>
      </w:r>
      <w:r>
        <w:rPr>
          <w:b/>
          <w:bCs/>
        </w:rPr>
        <w:t xml:space="preserve">86.8%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leased percentage was</w:t>
      </w:r>
      <w:r>
        <w:t xml:space="preserve"> </w:t>
      </w:r>
      <w:r>
        <w:rPr>
          <w:b/>
          <w:bCs/>
        </w:rPr>
        <w:t xml:space="preserve">94.2%</w:t>
      </w:r>
      <w:r>
        <w:t xml:space="preserve">;</w:t>
      </w:r>
    </w:p>
    <w:p>
      <w:pPr>
        <w:pStyle w:val="Compact"/>
        <w:numPr>
          <w:ilvl w:val="0"/>
          <w:numId w:val="1008"/>
        </w:numPr>
      </w:pPr>
      <w:r>
        <w:t xml:space="preserve">200 Fifth Avenue was</w:t>
      </w:r>
      <w:r>
        <w:t xml:space="preserve"> </w:t>
      </w:r>
      <w:r>
        <w:rPr>
          <w:b/>
          <w:bCs/>
        </w:rPr>
        <w:t xml:space="preserve">95.7% leased</w:t>
      </w:r>
      <w:r>
        <w:t xml:space="preserve"> </w:t>
      </w:r>
      <w:r>
        <w:t xml:space="preserve">but only 59.8% occupied; and</w:t>
      </w:r>
    </w:p>
    <w:p>
      <w:pPr>
        <w:pStyle w:val="Compact"/>
        <w:numPr>
          <w:ilvl w:val="0"/>
          <w:numId w:val="1008"/>
        </w:numPr>
      </w:pPr>
      <w:r>
        <w:t xml:space="preserve">360 Park Avenue South was approximately</w:t>
      </w:r>
      <w:r>
        <w:t xml:space="preserve"> </w:t>
      </w:r>
      <w:r>
        <w:rPr>
          <w:b/>
          <w:bCs/>
        </w:rPr>
        <w:t xml:space="preserve">90% leased</w:t>
      </w:r>
      <w:r>
        <w:t xml:space="preserve"> </w:t>
      </w:r>
      <w:r>
        <w:t xml:space="preserve">but only 43.4% occupied.</w:t>
      </w:r>
    </w:p>
    <w:p>
      <w:pPr>
        <w:pStyle w:val="FirstParagraph"/>
      </w:pPr>
      <w:r>
        <w:t xml:space="preserve">Management said roughly</w:t>
      </w:r>
      <w:r>
        <w:t xml:space="preserve"> </w:t>
      </w:r>
      <w:r>
        <w:rPr>
          <w:b/>
          <w:bCs/>
        </w:rPr>
        <w:t xml:space="preserve">800,000 square feet</w:t>
      </w:r>
      <w:r>
        <w:t xml:space="preserve"> </w:t>
      </w:r>
      <w:r>
        <w:t xml:space="preserve">of the portfolio-wide leased-versus-occupied gap was in Midtown Manhattan, where rents are especially high. As those leases commence, New York should make a disproportionate contribution to NOI.</w:t>
      </w:r>
    </w:p>
    <w:p>
      <w:pPr>
        <w:pStyle w:val="BodyText"/>
      </w:pPr>
      <w:r>
        <w:t xml:space="preserve">At REITweek, management said 360 Park Avenue South could reach 100% leased if discussions for its final two floors were completed.</w:t>
      </w:r>
    </w:p>
    <w:p>
      <w:pPr>
        <w:pStyle w:val="BodyText"/>
      </w:pPr>
      <w:r>
        <w:rPr>
          <w:b/>
          <w:bCs/>
        </w:rPr>
        <w:t xml:space="preserve">Watch:</w:t>
      </w:r>
      <w:r>
        <w:t xml:space="preserve"> </w:t>
      </w:r>
      <w:r>
        <w:t xml:space="preserve">occupancy conversion at 200 Fifth and 360 Park Avenue South, Times Square Tower leasing, and whether strong market pricing translates into better cash spreads.</w:t>
      </w:r>
    </w:p>
    <w:bookmarkEnd w:id="17"/>
    <w:bookmarkStart w:id="18" w:name="san-francisco-the-highest-upside-market"/>
    <w:p>
      <w:pPr>
        <w:pStyle w:val="Heading3"/>
      </w:pPr>
      <w:r>
        <w:t xml:space="preserve">San Francisco: the highest-upside market</w:t>
      </w:r>
    </w:p>
    <w:p>
      <w:pPr>
        <w:pStyle w:val="FirstParagraph"/>
      </w:pPr>
      <w:r>
        <w:t xml:space="preserve">San Francisco finished Q1 at: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79.7% total occupancy</w:t>
      </w:r>
      <w:r>
        <w:t xml:space="preserve">, up 270 basis points sequentially;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82.9% leased</w:t>
      </w:r>
      <w:r>
        <w:t xml:space="preserve">; and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82.7% CBD occupancy</w:t>
      </w:r>
      <w:r>
        <w:t xml:space="preserve">.</w:t>
      </w:r>
    </w:p>
    <w:p>
      <w:pPr>
        <w:pStyle w:val="FirstParagraph"/>
      </w:pPr>
      <w:r>
        <w:t xml:space="preserve">The largest recent success has been 680 Folsom, which was more than 92% leased at the end of Q1 after substantial AI- and technology-related activity. Management said approximately 80% of first-quarter San Francisco market leasing was related to AI companies.</w:t>
      </w:r>
    </w:p>
    <w:p>
      <w:pPr>
        <w:pStyle w:val="BodyText"/>
      </w:pPr>
      <w:r>
        <w:t xml:space="preserve">The upside is meaningful because Embarcadero Center One, Two and Three remain only approximately 68%–71% occupied. Those assets provide operating leverage if AI-driven demand broadens beyond the South of Market submarket.</w:t>
      </w:r>
    </w:p>
    <w:p>
      <w:pPr>
        <w:pStyle w:val="BodyText"/>
      </w:pPr>
      <w:r>
        <w:rPr>
          <w:b/>
          <w:bCs/>
        </w:rPr>
        <w:t xml:space="preserve">Watch:</w:t>
      </w:r>
      <w:r>
        <w:t xml:space="preserve"> </w:t>
      </w:r>
      <w:r>
        <w:t xml:space="preserve">additional leases at Embarcadero Center, 680 Folsom commencements, and evidence that demand is broadening beyond a handful of AI tenants.</w:t>
      </w:r>
    </w:p>
    <w:bookmarkEnd w:id="18"/>
    <w:bookmarkStart w:id="19" w:name="Xf8fa24ed18aa6ac274b4bf3768c0478028e18b9"/>
    <w:p>
      <w:pPr>
        <w:pStyle w:val="Heading3"/>
      </w:pPr>
      <w:r>
        <w:t xml:space="preserve">Boston: premier assets strong, suburban exposure mixed</w:t>
      </w:r>
    </w:p>
    <w:p>
      <w:pPr>
        <w:pStyle w:val="FirstParagraph"/>
      </w:pPr>
      <w:r>
        <w:t xml:space="preserve">Boston contributes approximately</w:t>
      </w:r>
      <w:r>
        <w:t xml:space="preserve"> </w:t>
      </w:r>
      <w:r>
        <w:rPr>
          <w:b/>
          <w:bCs/>
        </w:rPr>
        <w:t xml:space="preserve">37% of BXP’s share of NOI</w:t>
      </w:r>
      <w:r>
        <w:t xml:space="preserve">, making it the company’s largest region. Core Boston and Cambridge remain exceptionally well occupied, but the suburban portfolio is weaker.</w:t>
      </w:r>
    </w:p>
    <w:p>
      <w:pPr>
        <w:pStyle w:val="BodyText"/>
      </w:pPr>
      <w:r>
        <w:t xml:space="preserve">Q1 total Boston occupancy was</w:t>
      </w:r>
      <w:r>
        <w:t xml:space="preserve"> </w:t>
      </w:r>
      <w:r>
        <w:rPr>
          <w:b/>
          <w:bCs/>
        </w:rPr>
        <w:t xml:space="preserve">92.4%</w:t>
      </w:r>
      <w:r>
        <w:t xml:space="preserve">, while several Urban Edge properties remained underoccupied. Management nevertheless described an improving life-science environment and said demand was increasingly coming from life-science companies seeking conventional office space rather than wet labs.</w:t>
      </w:r>
    </w:p>
    <w:p>
      <w:pPr>
        <w:pStyle w:val="BodyText"/>
      </w:pPr>
      <w:r>
        <w:t xml:space="preserve">The delivery of the fully leased</w:t>
      </w:r>
      <w:r>
        <w:t xml:space="preserve"> </w:t>
      </w:r>
      <w:r>
        <w:rPr>
          <w:b/>
          <w:bCs/>
        </w:rPr>
        <w:t xml:space="preserve">290 Binney Street</w:t>
      </w:r>
      <w:r>
        <w:t xml:space="preserve"> </w:t>
      </w:r>
      <w:r>
        <w:t xml:space="preserve">project to AstraZeneca should add NOI, although its early completion also reduces capitalized interest.</w:t>
      </w:r>
    </w:p>
    <w:p>
      <w:pPr>
        <w:pStyle w:val="BodyText"/>
      </w:pPr>
      <w:r>
        <w:rPr>
          <w:b/>
          <w:bCs/>
        </w:rPr>
        <w:t xml:space="preserve">Watch:</w:t>
      </w:r>
      <w:r>
        <w:t xml:space="preserve"> </w:t>
      </w:r>
      <w:r>
        <w:t xml:space="preserve">290 Binney contribution, leasing at 180 CityPoint and other suburban properties, and management’s assessment of the Boston life-science recovery.</w:t>
      </w:r>
    </w:p>
    <w:bookmarkEnd w:id="19"/>
    <w:bookmarkStart w:id="20" w:name="X6b367a29fe60a189aa675e38b5dc7058dd59f0d"/>
    <w:p>
      <w:pPr>
        <w:pStyle w:val="Heading3"/>
      </w:pPr>
      <w:r>
        <w:t xml:space="preserve">Washington, DC and Reston: strong development demand</w:t>
      </w:r>
    </w:p>
    <w:p>
      <w:pPr>
        <w:pStyle w:val="FirstParagraph"/>
      </w:pPr>
      <w:r>
        <w:t xml:space="preserve">Reston remains one of BXP’s tightest markets, with the portfolio more than 97% leased at the end of Q1. Defense, cybersecurity and professional-services demand has supported leasing.</w:t>
      </w:r>
    </w:p>
    <w:p>
      <w:pPr>
        <w:pStyle w:val="BodyText"/>
      </w:pPr>
      <w:r>
        <w:t xml:space="preserve">The DC CBD is more bifurcated, but BXP is benefiting from clients willing to pay replacement-cost rents for new premier buildings. This is driving tenant-led development at 725 12th Street and the planned 2100 M Street project.</w:t>
      </w:r>
    </w:p>
    <w:p>
      <w:pPr>
        <w:pStyle w:val="BodyText"/>
      </w:pPr>
      <w:r>
        <w:rPr>
          <w:b/>
          <w:bCs/>
        </w:rPr>
        <w:t xml:space="preserve">Watch:</w:t>
      </w:r>
      <w:r>
        <w:t xml:space="preserve"> </w:t>
      </w:r>
      <w:r>
        <w:t xml:space="preserve">Reston rent growth, signed pre-leasing for future DC developments, and whether new projects remain largely tenant-driven and appropriately capitalized.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23" w:name="Xea29b72a5ffbfe3a74c982c8d0ff6b1173b8725"/>
    <w:p>
      <w:pPr>
        <w:pStyle w:val="Heading2"/>
      </w:pPr>
      <w:r>
        <w:t xml:space="preserve">4. 343 Madison Avenue is the most important project update</w:t>
      </w:r>
    </w:p>
    <w:p>
      <w:pPr>
        <w:pStyle w:val="FirstParagraph"/>
      </w:pPr>
      <w:r>
        <w:t xml:space="preserve">343 Madison is BXP’s largest development and its most important capital-allocation issue.</w:t>
      </w:r>
    </w:p>
    <w:p>
      <w:pPr>
        <w:pStyle w:val="BodyText"/>
      </w:pPr>
      <w:r>
        <w:t xml:space="preserve">At REITweek, management said:</w:t>
      </w:r>
    </w:p>
    <w:p>
      <w:pPr>
        <w:pStyle w:val="Compact"/>
        <w:numPr>
          <w:ilvl w:val="0"/>
          <w:numId w:val="1010"/>
        </w:numPr>
      </w:pPr>
      <w:r>
        <w:t xml:space="preserve">Starr had expanded its signed lease to approximately</w:t>
      </w:r>
      <w:r>
        <w:t xml:space="preserve"> </w:t>
      </w:r>
      <w:r>
        <w:rPr>
          <w:b/>
          <w:bCs/>
        </w:rPr>
        <w:t xml:space="preserve">325,000 square feet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two additional clients were negotiating for roughly</w:t>
      </w:r>
      <w:r>
        <w:t xml:space="preserve"> </w:t>
      </w:r>
      <w:r>
        <w:rPr>
          <w:b/>
          <w:bCs/>
        </w:rPr>
        <w:t xml:space="preserve">200,000 square feet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signed leases plus LOIs represented approximately</w:t>
      </w:r>
      <w:r>
        <w:t xml:space="preserve"> </w:t>
      </w:r>
      <w:r>
        <w:rPr>
          <w:b/>
          <w:bCs/>
        </w:rPr>
        <w:t xml:space="preserve">56% of the project</w:t>
      </w:r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management expected those two leases to be signed by the end of Q2;</w:t>
      </w:r>
    </w:p>
    <w:p>
      <w:pPr>
        <w:pStyle w:val="Compact"/>
        <w:numPr>
          <w:ilvl w:val="0"/>
          <w:numId w:val="1010"/>
        </w:numPr>
      </w:pPr>
      <w:r>
        <w:t xml:space="preserve">approximately 85% of construction trades had been bought out under budget;</w:t>
      </w:r>
    </w:p>
    <w:p>
      <w:pPr>
        <w:pStyle w:val="Compact"/>
        <w:numPr>
          <w:ilvl w:val="0"/>
          <w:numId w:val="1010"/>
        </w:numPr>
      </w:pPr>
      <w:r>
        <w:t xml:space="preserve">a roughly</w:t>
      </w:r>
      <w:r>
        <w:t xml:space="preserve"> </w:t>
      </w:r>
      <w:r>
        <w:rPr>
          <w:b/>
          <w:bCs/>
        </w:rPr>
        <w:t xml:space="preserve">$1.2 billion construction loan</w:t>
      </w:r>
      <w:r>
        <w:t xml:space="preserve"> </w:t>
      </w:r>
      <w:r>
        <w:t xml:space="preserve">was expected to close in Q3; and</w:t>
      </w:r>
    </w:p>
    <w:p>
      <w:pPr>
        <w:pStyle w:val="Compact"/>
        <w:numPr>
          <w:ilvl w:val="0"/>
          <w:numId w:val="1010"/>
        </w:numPr>
      </w:pPr>
      <w:r>
        <w:t xml:space="preserve">BXP was seeking</w:t>
      </w:r>
      <w:r>
        <w:t xml:space="preserve"> </w:t>
      </w:r>
      <m:oMath>
        <m:r>
          <m:t>150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–</m:t>
        </m:r>
      </m:oMath>
      <w:r>
        <w:rPr>
          <w:b/>
          <w:bCs/>
        </w:rPr>
        <w:t xml:space="preserve">400 million of outside equity</w:t>
      </w:r>
      <w:r>
        <w:t xml:space="preserve">.</w:t>
      </w:r>
    </w:p>
    <w:p>
      <w:pPr>
        <w:pStyle w:val="FirstParagraph"/>
      </w:pPr>
      <w:r>
        <w:t xml:space="preserve">The project’s total BXP investment was estimated at approximately</w:t>
      </w:r>
      <w:r>
        <w:t xml:space="preserve"> </w:t>
      </w:r>
      <w:r>
        <w:rPr>
          <w:b/>
          <w:bCs/>
        </w:rPr>
        <w:t xml:space="preserve">$2.0 billion</w:t>
      </w:r>
      <w:r>
        <w:t xml:space="preserve">, with a projected stabilized unleveraged cash yield of</w:t>
      </w:r>
      <w:r>
        <w:t xml:space="preserve"> </w:t>
      </w:r>
      <w:r>
        <w:rPr>
          <w:b/>
          <w:bCs/>
        </w:rPr>
        <w:t xml:space="preserve">7.5%–8.0%</w:t>
      </w:r>
      <w:r>
        <w:t xml:space="preserve">.</w:t>
      </w:r>
    </w:p>
    <w:bookmarkStart w:id="22" w:name="key-questions-for-the-report"/>
    <w:p>
      <w:pPr>
        <w:pStyle w:val="Heading3"/>
      </w:pPr>
      <w:r>
        <w:t xml:space="preserve">Key questions for the report</w:t>
      </w:r>
    </w:p>
    <w:p>
      <w:pPr>
        <w:pStyle w:val="Compact"/>
        <w:numPr>
          <w:ilvl w:val="0"/>
          <w:numId w:val="1011"/>
        </w:numPr>
      </w:pPr>
      <w:r>
        <w:t xml:space="preserve">Were the additional 200,000 square feet of leases signed by quarter-end?</w:t>
      </w:r>
    </w:p>
    <w:p>
      <w:pPr>
        <w:pStyle w:val="Compact"/>
        <w:numPr>
          <w:ilvl w:val="0"/>
          <w:numId w:val="1011"/>
        </w:numPr>
      </w:pPr>
      <w:r>
        <w:t xml:space="preserve">Does the project remain 56% committed—or higher?</w:t>
      </w:r>
    </w:p>
    <w:p>
      <w:pPr>
        <w:pStyle w:val="Compact"/>
        <w:numPr>
          <w:ilvl w:val="0"/>
          <w:numId w:val="1011"/>
        </w:numPr>
      </w:pPr>
      <w:r>
        <w:t xml:space="preserve">Is the $1.2 billion construction loan still expected to close in Q3?</w:t>
      </w:r>
    </w:p>
    <w:p>
      <w:pPr>
        <w:pStyle w:val="Compact"/>
        <w:numPr>
          <w:ilvl w:val="0"/>
          <w:numId w:val="1011"/>
        </w:numPr>
      </w:pPr>
      <w:r>
        <w:t xml:space="preserve">Has BXP reached terms with outside equity investors?</w:t>
      </w:r>
    </w:p>
    <w:p>
      <w:pPr>
        <w:pStyle w:val="Compact"/>
        <w:numPr>
          <w:ilvl w:val="0"/>
          <w:numId w:val="1011"/>
        </w:numPr>
      </w:pPr>
      <w:r>
        <w:t xml:space="preserve">Is the budget still intact after tariffs and construction-cost changes?</w:t>
      </w:r>
    </w:p>
    <w:p>
      <w:pPr>
        <w:pStyle w:val="Compact"/>
        <w:numPr>
          <w:ilvl w:val="0"/>
          <w:numId w:val="1011"/>
        </w:numPr>
      </w:pPr>
      <w:r>
        <w:t xml:space="preserve">Does management still expect tenant delivery in mid-2028 and occupancy in 2029?</w:t>
      </w:r>
    </w:p>
    <w:p>
      <w:pPr>
        <w:pStyle w:val="FirstParagraph"/>
      </w:pPr>
      <w:r>
        <w:t xml:space="preserve">Failure to sign the anticipated leases would be a notable disappointment. Conversely, additional leasing plus a financing announcement would materially reduce the project’s perceived balance-sheet risk.</w:t>
      </w:r>
    </w:p>
    <w:p>
      <w:r>
        <w:pict>
          <v:rect style="width:0;height:1.5pt" o:hralign="center" o:hrstd="t" o:hr="t"/>
        </w:pict>
      </w:r>
    </w:p>
    <w:bookmarkEnd w:id="22"/>
    <w:bookmarkEnd w:id="23"/>
    <w:bookmarkStart w:id="25" w:name="Xaccecc7d526fa62b431b4bbe6dcf79f312ca87f"/>
    <w:p>
      <w:pPr>
        <w:pStyle w:val="Heading2"/>
      </w:pPr>
      <w:r>
        <w:t xml:space="preserve">5. Asset sales and leverage must show measurable progress</w:t>
      </w:r>
    </w:p>
    <w:p>
      <w:pPr>
        <w:pStyle w:val="FirstParagraph"/>
      </w:pPr>
      <w:r>
        <w:t xml:space="preserve">Asset recycling is the second pillar of BXP’s strategic plan. The company initially targeted</w:t>
      </w:r>
      <w:r>
        <w:t xml:space="preserve"> </w:t>
      </w:r>
      <w:r>
        <w:rPr>
          <w:b/>
          <w:bCs/>
        </w:rPr>
        <w:t xml:space="preserve">$1.9 billion of net proceeds through 2028</w:t>
      </w:r>
      <w:r>
        <w:t xml:space="preserve">.</w:t>
      </w:r>
    </w:p>
    <w:p>
      <w:pPr>
        <w:pStyle w:val="BodyText"/>
      </w:pPr>
      <w:r>
        <w:t xml:space="preserve">As of June 2, management said it had:</w:t>
      </w:r>
    </w:p>
    <w:p>
      <w:pPr>
        <w:pStyle w:val="Compact"/>
        <w:numPr>
          <w:ilvl w:val="0"/>
          <w:numId w:val="1012"/>
        </w:numPr>
      </w:pPr>
      <w:r>
        <w:t xml:space="preserve">completed approximately</w:t>
      </w:r>
      <w:r>
        <w:t xml:space="preserve"> </w:t>
      </w:r>
      <w:r>
        <w:rPr>
          <w:b/>
          <w:bCs/>
        </w:rPr>
        <w:t xml:space="preserve">$1.2 billion</w:t>
      </w:r>
      <w:r>
        <w:t xml:space="preserve"> </w:t>
      </w:r>
      <w:r>
        <w:t xml:space="preserve">of sales;</w:t>
      </w:r>
    </w:p>
    <w:p>
      <w:pPr>
        <w:pStyle w:val="Compact"/>
        <w:numPr>
          <w:ilvl w:val="0"/>
          <w:numId w:val="1012"/>
        </w:numPr>
      </w:pPr>
      <w:r>
        <w:t xml:space="preserve">another</w:t>
      </w:r>
      <w:r>
        <w:t xml:space="preserve"> </w:t>
      </w:r>
      <w:r>
        <w:rPr>
          <w:b/>
          <w:bCs/>
        </w:rPr>
        <w:t xml:space="preserve">$200 million under contract with hard deposits</w:t>
      </w:r>
      <w:r>
        <w:t xml:space="preserve">; and</w:t>
      </w:r>
    </w:p>
    <w:p>
      <w:pPr>
        <w:pStyle w:val="Compact"/>
        <w:numPr>
          <w:ilvl w:val="0"/>
          <w:numId w:val="1012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$400 million in various stages of marketing</w:t>
      </w:r>
      <w:r>
        <w:t xml:space="preserve">.</w:t>
      </w:r>
    </w:p>
    <w:p>
      <w:pPr>
        <w:pStyle w:val="FirstParagraph"/>
      </w:pPr>
      <w:r>
        <w:t xml:space="preserve">That suggests BXP could approach its original $1.9 billion target well ahead of schedule, although some marketed sales may not close until 2027.</w:t>
      </w:r>
    </w:p>
    <w:p>
      <w:pPr>
        <w:pStyle w:val="BodyText"/>
      </w:pPr>
      <w:r>
        <w:t xml:space="preserve">The proceeds are intended to:</w:t>
      </w:r>
    </w:p>
    <w:p>
      <w:pPr>
        <w:pStyle w:val="Compact"/>
        <w:numPr>
          <w:ilvl w:val="0"/>
          <w:numId w:val="1013"/>
        </w:numPr>
      </w:pPr>
      <w:r>
        <w:t xml:space="preserve">reduce debt;</w:t>
      </w:r>
    </w:p>
    <w:p>
      <w:pPr>
        <w:pStyle w:val="Compact"/>
        <w:numPr>
          <w:ilvl w:val="0"/>
          <w:numId w:val="1013"/>
        </w:numPr>
      </w:pPr>
      <w:r>
        <w:t xml:space="preserve">fund development;</w:t>
      </w:r>
    </w:p>
    <w:p>
      <w:pPr>
        <w:pStyle w:val="Compact"/>
        <w:numPr>
          <w:ilvl w:val="0"/>
          <w:numId w:val="1013"/>
        </w:numPr>
      </w:pPr>
      <w:r>
        <w:t xml:space="preserve">bring in outside project capital; and</w:t>
      </w:r>
    </w:p>
    <w:p>
      <w:pPr>
        <w:pStyle w:val="Compact"/>
        <w:numPr>
          <w:ilvl w:val="0"/>
          <w:numId w:val="1013"/>
        </w:numPr>
      </w:pPr>
      <w:r>
        <w:t xml:space="preserve">improve the quality and CBD concentration of the remaining portfolio.</w:t>
      </w:r>
    </w:p>
    <w:bookmarkStart w:id="24" w:name="the-leverage-challenge"/>
    <w:p>
      <w:pPr>
        <w:pStyle w:val="Heading3"/>
      </w:pPr>
      <w:r>
        <w:t xml:space="preserve">The leverage challenge</w:t>
      </w:r>
    </w:p>
    <w:p>
      <w:pPr>
        <w:pStyle w:val="FirstParagraph"/>
      </w:pPr>
      <w:r>
        <w:t xml:space="preserve">BXP’s share of net debt to annualized EBITDAre was</w:t>
      </w:r>
      <w:r>
        <w:t xml:space="preserve"> </w:t>
      </w:r>
      <w:r>
        <w:rPr>
          <w:b/>
          <w:bCs/>
        </w:rPr>
        <w:t xml:space="preserve">8.5x</w:t>
      </w:r>
      <w:r>
        <w:t xml:space="preserve"> </w:t>
      </w:r>
      <w:r>
        <w:t xml:space="preserve">at the end of Q1, though management described a seasonally adjusted figure of approximately</w:t>
      </w:r>
      <w:r>
        <w:t xml:space="preserve"> </w:t>
      </w:r>
      <w:r>
        <w:rPr>
          <w:b/>
          <w:bCs/>
        </w:rPr>
        <w:t xml:space="preserve">8.1x</w:t>
      </w:r>
      <w:r>
        <w:t xml:space="preserve"> </w:t>
      </w:r>
      <w:r>
        <w:t xml:space="preserve">at REITweek. The target is to move toward the low-7x range over the next 18–24 months.</w:t>
      </w:r>
    </w:p>
    <w:p>
      <w:pPr>
        <w:pStyle w:val="BodyText"/>
      </w:pPr>
      <w:r>
        <w:t xml:space="preserve">Upcoming financing requirements include:</w:t>
      </w:r>
    </w:p>
    <w:p>
      <w:pPr>
        <w:pStyle w:val="Compact"/>
        <w:numPr>
          <w:ilvl w:val="0"/>
          <w:numId w:val="1014"/>
        </w:numPr>
      </w:pPr>
      <w:r>
        <w:t xml:space="preserve">$1 billion of unsecured notes due October 2026;</w:t>
      </w:r>
    </w:p>
    <w:p>
      <w:pPr>
        <w:pStyle w:val="Compact"/>
        <w:numPr>
          <w:ilvl w:val="0"/>
          <w:numId w:val="1014"/>
        </w:numPr>
      </w:pPr>
      <w:r>
        <w:t xml:space="preserve">the funding needs of 343 Madison and other developments; and</w:t>
      </w:r>
    </w:p>
    <w:p>
      <w:pPr>
        <w:pStyle w:val="Compact"/>
        <w:numPr>
          <w:ilvl w:val="0"/>
          <w:numId w:val="1014"/>
        </w:numPr>
      </w:pPr>
      <w:r>
        <w:t xml:space="preserve">elevated leasing capital associated with the occupancy recovery.</w:t>
      </w:r>
    </w:p>
    <w:p>
      <w:pPr>
        <w:pStyle w:val="FirstParagraph"/>
      </w:pPr>
      <w:r>
        <w:t xml:space="preserve">BXP had approximately</w:t>
      </w:r>
      <w:r>
        <w:t xml:space="preserve"> </w:t>
      </w:r>
      <w:r>
        <w:rPr>
          <w:b/>
          <w:bCs/>
        </w:rPr>
        <w:t xml:space="preserve">$1.5 billion of remaining revolver capacity</w:t>
      </w:r>
      <w:r>
        <w:t xml:space="preserve"> </w:t>
      </w:r>
      <w:r>
        <w:t xml:space="preserve">at the end of Q1, but the preferred outcome is asset-sale proceeds and project capital rather than additional corporate leverage.</w:t>
      </w:r>
    </w:p>
    <w:p>
      <w:pPr>
        <w:pStyle w:val="BodyText"/>
      </w:pPr>
      <w:r>
        <w:rPr>
          <w:b/>
          <w:bCs/>
        </w:rPr>
        <w:t xml:space="preserve">Watch:</w:t>
      </w:r>
      <w:r>
        <w:t xml:space="preserve"> </w:t>
      </w:r>
      <w:r>
        <w:t xml:space="preserve">Q2 closing proceeds, assets under contract, debt repayment, 2026 refinancing activity, net debt/EBITDA, and any change in credit-rating commentary.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8" w:name="Xe1d008164689e2c32aae45d3b2cd020be9ff24b"/>
    <w:p>
      <w:pPr>
        <w:pStyle w:val="Heading2"/>
      </w:pPr>
      <w:r>
        <w:t xml:space="preserve">6. Guidance: upside from leasing, pressure from interest expense</w:t>
      </w:r>
    </w:p>
    <w:p>
      <w:pPr>
        <w:pStyle w:val="FirstParagraph"/>
      </w:pPr>
      <w:r>
        <w:t xml:space="preserve">BXP raised full-year FFO guidance by one cent after Q1, to</w:t>
      </w:r>
      <w:r>
        <w:t xml:space="preserve"> </w:t>
      </w:r>
      <m:oMath>
        <m:r>
          <m:t>6.90</m:t>
        </m:r>
        <m:r>
          <m:rPr>
            <m:sty m:val="p"/>
          </m:rPr>
          <m:t>–</m:t>
        </m:r>
      </m:oMath>
      <w:r>
        <w:rPr>
          <w:b/>
          <w:bCs/>
        </w:rPr>
        <w:t xml:space="preserve">7.04</w:t>
      </w:r>
      <w:r>
        <w:t xml:space="preserve">. Better portfolio performance and termination income were largely offset by higher expected interest expense.</w:t>
      </w:r>
    </w:p>
    <w:p>
      <w:pPr>
        <w:pStyle w:val="BodyText"/>
      </w:pPr>
      <w:r>
        <w:t xml:space="preserve">The principal guidance tension remains:</w:t>
      </w:r>
    </w:p>
    <w:bookmarkStart w:id="26" w:name="positive"/>
    <w:p>
      <w:pPr>
        <w:pStyle w:val="Heading3"/>
      </w:pPr>
      <w:r>
        <w:t xml:space="preserve">Positive</w:t>
      </w:r>
    </w:p>
    <w:p>
      <w:pPr>
        <w:pStyle w:val="Compact"/>
        <w:numPr>
          <w:ilvl w:val="0"/>
          <w:numId w:val="1015"/>
        </w:numPr>
      </w:pPr>
      <w:r>
        <w:t xml:space="preserve">leasing ahead of expectations;</w:t>
      </w:r>
    </w:p>
    <w:p>
      <w:pPr>
        <w:pStyle w:val="Compact"/>
        <w:numPr>
          <w:ilvl w:val="0"/>
          <w:numId w:val="1015"/>
        </w:numPr>
      </w:pPr>
      <w:r>
        <w:t xml:space="preserve">higher occupancy;</w:t>
      </w:r>
    </w:p>
    <w:p>
      <w:pPr>
        <w:pStyle w:val="Compact"/>
        <w:numPr>
          <w:ilvl w:val="0"/>
          <w:numId w:val="1015"/>
        </w:numPr>
      </w:pPr>
      <w:r>
        <w:t xml:space="preserve">earlier lease commencements;</w:t>
      </w:r>
    </w:p>
    <w:p>
      <w:pPr>
        <w:pStyle w:val="Compact"/>
        <w:numPr>
          <w:ilvl w:val="0"/>
          <w:numId w:val="1015"/>
        </w:numPr>
      </w:pPr>
      <w:r>
        <w:t xml:space="preserve">290 Binney contributing sooner;</w:t>
      </w:r>
    </w:p>
    <w:p>
      <w:pPr>
        <w:pStyle w:val="Compact"/>
        <w:numPr>
          <w:ilvl w:val="0"/>
          <w:numId w:val="1015"/>
        </w:numPr>
      </w:pPr>
      <w:r>
        <w:t xml:space="preserve">service revenue benefiting from greater office utilization; and</w:t>
      </w:r>
    </w:p>
    <w:p>
      <w:pPr>
        <w:pStyle w:val="Compact"/>
        <w:numPr>
          <w:ilvl w:val="0"/>
          <w:numId w:val="1015"/>
        </w:numPr>
      </w:pPr>
      <w:r>
        <w:t xml:space="preserve">potential termination income.</w:t>
      </w:r>
    </w:p>
    <w:bookmarkEnd w:id="26"/>
    <w:bookmarkStart w:id="27" w:name="negative"/>
    <w:p>
      <w:pPr>
        <w:pStyle w:val="Heading3"/>
      </w:pPr>
      <w:r>
        <w:t xml:space="preserve">Negative</w:t>
      </w:r>
    </w:p>
    <w:p>
      <w:pPr>
        <w:pStyle w:val="Compact"/>
        <w:numPr>
          <w:ilvl w:val="0"/>
          <w:numId w:val="1016"/>
        </w:numPr>
      </w:pPr>
      <w:r>
        <w:t xml:space="preserve">higher commercial-paper and floating-rate borrowing costs;</w:t>
      </w:r>
    </w:p>
    <w:p>
      <w:pPr>
        <w:pStyle w:val="Compact"/>
        <w:numPr>
          <w:ilvl w:val="0"/>
          <w:numId w:val="1016"/>
        </w:numPr>
      </w:pPr>
      <w:r>
        <w:t xml:space="preserve">reduced capitalized interest following project deliveries;</w:t>
      </w:r>
    </w:p>
    <w:p>
      <w:pPr>
        <w:pStyle w:val="Compact"/>
        <w:numPr>
          <w:ilvl w:val="0"/>
          <w:numId w:val="1016"/>
        </w:numPr>
      </w:pPr>
      <w:r>
        <w:t xml:space="preserve">dilution from asset sales before proceeds are redeployed or debt is repaid;</w:t>
      </w:r>
    </w:p>
    <w:p>
      <w:pPr>
        <w:pStyle w:val="Compact"/>
        <w:numPr>
          <w:ilvl w:val="0"/>
          <w:numId w:val="1016"/>
        </w:numPr>
      </w:pPr>
      <w:r>
        <w:t xml:space="preserve">lease terminations affecting cash rent;</w:t>
      </w:r>
    </w:p>
    <w:p>
      <w:pPr>
        <w:pStyle w:val="Compact"/>
        <w:numPr>
          <w:ilvl w:val="0"/>
          <w:numId w:val="1016"/>
        </w:numPr>
      </w:pPr>
      <w:r>
        <w:t xml:space="preserve">elevated leasing expenditures; and</w:t>
      </w:r>
    </w:p>
    <w:p>
      <w:pPr>
        <w:pStyle w:val="Compact"/>
        <w:numPr>
          <w:ilvl w:val="0"/>
          <w:numId w:val="1016"/>
        </w:numPr>
      </w:pPr>
      <w:r>
        <w:t xml:space="preserve">possible development-cost pressure.</w:t>
      </w:r>
    </w:p>
    <w:p>
      <w:pPr>
        <w:pStyle w:val="FirstParagraph"/>
      </w:pPr>
      <w:r>
        <w:t xml:space="preserve">A guidance raise based on same-property NOI and rental revenue would be significantly more constructive than one based on termination fees or gains, the latter of which do not benefit FFO in the same manner.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32" w:name="bull-base-and-bear-interpretations"/>
    <w:p>
      <w:pPr>
        <w:pStyle w:val="Heading2"/>
      </w:pPr>
      <w:r>
        <w:t xml:space="preserve">Bull, base and bear interpretations</w:t>
      </w:r>
    </w:p>
    <w:bookmarkStart w:id="29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17"/>
        </w:numPr>
      </w:pPr>
      <w:r>
        <w:t xml:space="preserve">Q2 FFO exceeds $1.71.</w:t>
      </w:r>
    </w:p>
    <w:p>
      <w:pPr>
        <w:pStyle w:val="Compact"/>
        <w:numPr>
          <w:ilvl w:val="0"/>
          <w:numId w:val="1017"/>
        </w:numPr>
      </w:pPr>
      <w:r>
        <w:t xml:space="preserve">Full-year FFO guidance rises above the current midpoint.</w:t>
      </w:r>
    </w:p>
    <w:p>
      <w:pPr>
        <w:pStyle w:val="Compact"/>
        <w:numPr>
          <w:ilvl w:val="0"/>
          <w:numId w:val="1017"/>
        </w:numPr>
      </w:pPr>
      <w:r>
        <w:t xml:space="preserve">Occupancy is at or above 88%, with year-end guidance raised.</w:t>
      </w:r>
    </w:p>
    <w:p>
      <w:pPr>
        <w:pStyle w:val="Compact"/>
        <w:numPr>
          <w:ilvl w:val="0"/>
          <w:numId w:val="1017"/>
        </w:numPr>
      </w:pPr>
      <w:r>
        <w:t xml:space="preserve">Leasing exceeds 1 million square feet with better rent spreads.</w:t>
      </w:r>
    </w:p>
    <w:p>
      <w:pPr>
        <w:pStyle w:val="Compact"/>
        <w:numPr>
          <w:ilvl w:val="0"/>
          <w:numId w:val="1017"/>
        </w:numPr>
      </w:pPr>
      <w:r>
        <w:t xml:space="preserve">343 Madison reaches at least 56% signed—not merely committed.</w:t>
      </w:r>
    </w:p>
    <w:p>
      <w:pPr>
        <w:pStyle w:val="Compact"/>
        <w:numPr>
          <w:ilvl w:val="0"/>
          <w:numId w:val="1017"/>
        </w:numPr>
      </w:pPr>
      <w:r>
        <w:t xml:space="preserve">Construction debt and outside equity are close to completion.</w:t>
      </w:r>
    </w:p>
    <w:p>
      <w:pPr>
        <w:pStyle w:val="Compact"/>
        <w:numPr>
          <w:ilvl w:val="0"/>
          <w:numId w:val="1017"/>
        </w:numPr>
      </w:pPr>
      <w:r>
        <w:t xml:space="preserve">Asset sales support visible deleveraging.</w:t>
      </w:r>
    </w:p>
    <w:p>
      <w:pPr>
        <w:pStyle w:val="FirstParagraph"/>
      </w:pPr>
      <w:r>
        <w:t xml:space="preserve">This would strengthen the case that BXP is at the beginning of a durable occupancy and NOI recovery.</w:t>
      </w:r>
    </w:p>
    <w:bookmarkEnd w:id="29"/>
    <w:bookmarkStart w:id="30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18"/>
        </w:numPr>
      </w:pPr>
      <w:r>
        <w:t xml:space="preserve">FFO lands near $1.70.</w:t>
      </w:r>
    </w:p>
    <w:p>
      <w:pPr>
        <w:pStyle w:val="Compact"/>
        <w:numPr>
          <w:ilvl w:val="0"/>
          <w:numId w:val="1018"/>
        </w:numPr>
      </w:pPr>
      <w:r>
        <w:t xml:space="preserve">Full-year guidance is reiterated.</w:t>
      </w:r>
    </w:p>
    <w:p>
      <w:pPr>
        <w:pStyle w:val="Compact"/>
        <w:numPr>
          <w:ilvl w:val="0"/>
          <w:numId w:val="1018"/>
        </w:numPr>
      </w:pPr>
      <w:r>
        <w:t xml:space="preserve">Occupancy improves modestly, and management retains the 89% year-end target.</w:t>
      </w:r>
    </w:p>
    <w:p>
      <w:pPr>
        <w:pStyle w:val="Compact"/>
        <w:numPr>
          <w:ilvl w:val="0"/>
          <w:numId w:val="1018"/>
        </w:numPr>
      </w:pPr>
      <w:r>
        <w:t xml:space="preserve">Leasing remains healthy, but concessions and capital costs are still elevated.</w:t>
      </w:r>
    </w:p>
    <w:p>
      <w:pPr>
        <w:pStyle w:val="Compact"/>
        <w:numPr>
          <w:ilvl w:val="0"/>
          <w:numId w:val="1018"/>
        </w:numPr>
      </w:pPr>
      <w:r>
        <w:t xml:space="preserve">343 Madison and asset-sale processes remain on schedule without major new announcements.</w:t>
      </w:r>
    </w:p>
    <w:p>
      <w:pPr>
        <w:pStyle w:val="FirstParagraph"/>
      </w:pPr>
      <w:r>
        <w:t xml:space="preserve">That would be a satisfactory quarter, though the stock’s rally since March may limit the immediate upside.</w:t>
      </w:r>
    </w:p>
    <w:bookmarkEnd w:id="30"/>
    <w:bookmarkStart w:id="31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9"/>
        </w:numPr>
      </w:pPr>
      <w:r>
        <w:t xml:space="preserve">FFO misses the lower end of guidance.</w:t>
      </w:r>
    </w:p>
    <w:p>
      <w:pPr>
        <w:pStyle w:val="Compact"/>
        <w:numPr>
          <w:ilvl w:val="0"/>
          <w:numId w:val="1019"/>
        </w:numPr>
      </w:pPr>
      <w:r>
        <w:t xml:space="preserve">Full-year guidance is cut because of interest expense, tenant credit or slower commencements.</w:t>
      </w:r>
    </w:p>
    <w:p>
      <w:pPr>
        <w:pStyle w:val="Compact"/>
        <w:numPr>
          <w:ilvl w:val="0"/>
          <w:numId w:val="1019"/>
        </w:numPr>
      </w:pPr>
      <w:r>
        <w:t xml:space="preserve">Occupancy stalls despite the large leased-not-occupied pipeline.</w:t>
      </w:r>
    </w:p>
    <w:p>
      <w:pPr>
        <w:pStyle w:val="Compact"/>
        <w:numPr>
          <w:ilvl w:val="0"/>
          <w:numId w:val="1019"/>
        </w:numPr>
      </w:pPr>
      <w:r>
        <w:t xml:space="preserve">Leasing volume slows or requires worse concessions.</w:t>
      </w:r>
    </w:p>
    <w:p>
      <w:pPr>
        <w:pStyle w:val="Compact"/>
        <w:numPr>
          <w:ilvl w:val="0"/>
          <w:numId w:val="1019"/>
        </w:numPr>
      </w:pPr>
      <w:r>
        <w:t xml:space="preserve">The expected 343 Madison leases remain unsigned.</w:t>
      </w:r>
    </w:p>
    <w:p>
      <w:pPr>
        <w:pStyle w:val="Compact"/>
        <w:numPr>
          <w:ilvl w:val="0"/>
          <w:numId w:val="1019"/>
        </w:numPr>
      </w:pPr>
      <w:r>
        <w:t xml:space="preserve">Project-level financing is delayed or more expensive.</w:t>
      </w:r>
    </w:p>
    <w:p>
      <w:pPr>
        <w:pStyle w:val="Compact"/>
        <w:numPr>
          <w:ilvl w:val="0"/>
          <w:numId w:val="1019"/>
        </w:numPr>
      </w:pPr>
      <w:r>
        <w:t xml:space="preserve">Asset sales do not translate into lower leverage.</w:t>
      </w:r>
    </w:p>
    <w:p>
      <w:pPr>
        <w:pStyle w:val="FirstParagraph"/>
      </w:pPr>
      <w:r>
        <w:t xml:space="preserve">Such an outcome would challenge the market’s growing confidence that leasing momentum can overcome BXP’s capital intensity and elevated leverage.</w:t>
      </w:r>
    </w:p>
    <w:p>
      <w:r>
        <w:pict>
          <v:rect style="width:0;height:1.5pt" o:hralign="center" o:hrstd="t" o:hr="t"/>
        </w:pict>
      </w:r>
    </w:p>
    <w:bookmarkEnd w:id="31"/>
    <w:bookmarkEnd w:id="32"/>
    <w:bookmarkStart w:id="33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most important number in the release may not be quarterly FFO. It will be the evidence that BXP’s</w:t>
      </w:r>
      <w:r>
        <w:t xml:space="preserve"> </w:t>
      </w:r>
      <w:r>
        <w:rPr>
          <w:b/>
          <w:bCs/>
        </w:rPr>
        <w:t xml:space="preserve">signed lease pipeline is converting into occupied, rent-paying space at acceptable economics</w:t>
      </w:r>
      <w:r>
        <w:t xml:space="preserve">.</w:t>
      </w:r>
    </w:p>
    <w:p>
      <w:pPr>
        <w:pStyle w:val="BodyText"/>
      </w:pPr>
      <w:r>
        <w:t xml:space="preserve">Going into the report, the operating setup is favorable:</w:t>
      </w:r>
    </w:p>
    <w:p>
      <w:pPr>
        <w:pStyle w:val="Compact"/>
        <w:numPr>
          <w:ilvl w:val="0"/>
          <w:numId w:val="1020"/>
        </w:numPr>
      </w:pPr>
      <w:r>
        <w:t xml:space="preserve">leasing was already running above 1.9 million square feet year to date as of early June;</w:t>
      </w:r>
    </w:p>
    <w:p>
      <w:pPr>
        <w:pStyle w:val="Compact"/>
        <w:numPr>
          <w:ilvl w:val="0"/>
          <w:numId w:val="1020"/>
        </w:numPr>
      </w:pPr>
      <w:r>
        <w:t xml:space="preserve">near-term rollover is manageable;</w:t>
      </w:r>
    </w:p>
    <w:p>
      <w:pPr>
        <w:pStyle w:val="Compact"/>
        <w:numPr>
          <w:ilvl w:val="0"/>
          <w:numId w:val="1020"/>
        </w:numPr>
      </w:pPr>
      <w:r>
        <w:t xml:space="preserve">the leased-versus-occupied gap offers substantial embedded NOI;</w:t>
      </w:r>
    </w:p>
    <w:p>
      <w:pPr>
        <w:pStyle w:val="Compact"/>
        <w:numPr>
          <w:ilvl w:val="0"/>
          <w:numId w:val="1020"/>
        </w:numPr>
      </w:pPr>
      <w:r>
        <w:t xml:space="preserve">premier office rents are rising in several key submarkets; and</w:t>
      </w:r>
    </w:p>
    <w:p>
      <w:pPr>
        <w:pStyle w:val="Compact"/>
        <w:numPr>
          <w:ilvl w:val="0"/>
          <w:numId w:val="1020"/>
        </w:numPr>
      </w:pPr>
      <w:r>
        <w:t xml:space="preserve">asset sales are ahead of the original strategic timetable.</w:t>
      </w:r>
    </w:p>
    <w:p>
      <w:pPr>
        <w:pStyle w:val="FirstParagraph"/>
      </w:pPr>
      <w:r>
        <w:t xml:space="preserve">The offsets are equally clear:</w:t>
      </w:r>
    </w:p>
    <w:p>
      <w:pPr>
        <w:pStyle w:val="Compact"/>
        <w:numPr>
          <w:ilvl w:val="0"/>
          <w:numId w:val="1021"/>
        </w:numPr>
      </w:pPr>
      <w:r>
        <w:t xml:space="preserve">leverage remains high;</w:t>
      </w:r>
    </w:p>
    <w:p>
      <w:pPr>
        <w:pStyle w:val="Compact"/>
        <w:numPr>
          <w:ilvl w:val="0"/>
          <w:numId w:val="1021"/>
        </w:numPr>
      </w:pPr>
      <w:r>
        <w:t xml:space="preserve">the development pipeline requires substantial capital;</w:t>
      </w:r>
    </w:p>
    <w:p>
      <w:pPr>
        <w:pStyle w:val="Compact"/>
        <w:numPr>
          <w:ilvl w:val="0"/>
          <w:numId w:val="1021"/>
        </w:numPr>
      </w:pPr>
      <w:r>
        <w:t xml:space="preserve">interest expense is a headwind;</w:t>
      </w:r>
    </w:p>
    <w:p>
      <w:pPr>
        <w:pStyle w:val="Compact"/>
        <w:numPr>
          <w:ilvl w:val="0"/>
          <w:numId w:val="1021"/>
        </w:numPr>
      </w:pPr>
      <w:r>
        <w:t xml:space="preserve">leasing costs are elevated; and</w:t>
      </w:r>
    </w:p>
    <w:p>
      <w:pPr>
        <w:pStyle w:val="Compact"/>
        <w:numPr>
          <w:ilvl w:val="0"/>
          <w:numId w:val="1021"/>
        </w:numPr>
      </w:pPr>
      <w:r>
        <w:t xml:space="preserve">the stock has already rebounded considerably from its first-quarter low.</w:t>
      </w:r>
    </w:p>
    <w:p>
      <w:pPr>
        <w:pStyle w:val="FirstParagraph"/>
      </w:pPr>
      <w:r>
        <w:t xml:space="preserve">A strong report therefore needs more than an FFO beat. Investors should look for</w:t>
      </w:r>
      <w:r>
        <w:t xml:space="preserve"> </w:t>
      </w:r>
      <w:r>
        <w:rPr>
          <w:b/>
          <w:bCs/>
        </w:rPr>
        <w:t xml:space="preserve">occupancy conversion, improving leasing economics, signed progress at 343 Madison, and concrete balance-sheet deleveraging</w:t>
      </w:r>
      <w:r>
        <w:t xml:space="preserve">.</w:t>
      </w:r>
    </w:p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2026-07-28T01:28:50Z</dcterms:created>
  <dcterms:modified xsi:type="dcterms:W3CDTF">2026-07-28T01:28:50Z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