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xp-earnings-predictions--2026-07-28"/>
    <w:p>
      <w:pPr>
        <w:pStyle w:val="Heading1"/>
      </w:pPr>
      <w:r>
        <w:t xml:space="preserve">BXP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FFO per diluted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~$1.71 vs. cons $1.71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portfolio occupancy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~88.1% vs. cons 87.2%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~$858M vs. cons $844M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FFO per diluted share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~$1.71 vs. cons $1.74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FFO per diluted share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~$6.96 midpoint vs. cons $7.01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same-property NOI growth guidance ex. termination income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~1.9% midpoint vs. cons 1.9%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A ~$1.71 Q2 FFO result versus</w:t>
            </w:r>
            <w:r>
              <w:t xml:space="preserve"> </w:t>
            </w:r>
            <m:oMath>
              <m:r>
                <m:t>1.71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u</m:t>
              </m:r>
              <m:r>
                <m:t>n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t</m:t>
              </m:r>
              <m:r>
                <m:t>o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a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F</m:t>
              </m:r>
              <m:r>
                <m:t>F</m:t>
              </m:r>
              <m:r>
                <m:t>O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6.96 versus</w:t>
            </w:r>
            <w:r>
              <w:t xml:space="preserve"> </w:t>
            </w:r>
            <m:oMath>
              <m:r>
                <m:t>7.01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;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0.05 out-period shortfall implies downward estimate revisions despite occupancy of ~88.1% versus 87.2%.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2026-07-28T01:27:52Z</dcterms:created>
  <dcterms:modified xsi:type="dcterms:W3CDTF">2026-07-28T01:27:52Z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