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BXP, Inc. (BXP)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BXP, Inc.</w:t>
            </w:r>
          </w:p>
        </w:tc>
        <w:tc>
          <w:tcPr>
            <w:tcW w:type="dxa" w:w="2160"/>
          </w:tcPr>
          <w:p>
            <w:r>
              <w:rPr>
                <w:rFonts w:ascii="Calibri" w:hAnsi="Calibri"/>
                <w:b/>
                <w:sz w:val="22"/>
              </w:rPr>
              <w:t>Ticker</w:t>
            </w:r>
          </w:p>
        </w:tc>
        <w:tc>
          <w:tcPr>
            <w:tcW w:type="dxa" w:w="2160"/>
          </w:tcPr>
          <w:p>
            <w:r>
              <w:rPr>
                <w:rFonts w:ascii="Calibri" w:hAnsi="Calibri"/>
                <w:sz w:val="22"/>
              </w:rPr>
              <w:t>BXP (NYSE)</w:t>
            </w:r>
          </w:p>
        </w:tc>
      </w:tr>
      <w:tr>
        <w:tc>
          <w:tcPr>
            <w:tcW w:type="dxa" w:w="2160"/>
          </w:tcPr>
          <w:p>
            <w:r>
              <w:rPr>
                <w:rFonts w:ascii="Calibri" w:hAnsi="Calibri"/>
                <w:b/>
                <w:sz w:val="22"/>
              </w:rPr>
              <w:t>Upcoming Earnings Date</w:t>
            </w:r>
          </w:p>
        </w:tc>
        <w:tc>
          <w:tcPr>
            <w:tcW w:type="dxa" w:w="2160"/>
          </w:tcPr>
          <w:p>
            <w:r>
              <w:rPr>
                <w:rFonts w:ascii="Calibri" w:hAnsi="Calibri"/>
                <w:sz w:val="22"/>
              </w:rPr>
              <w:t>July 28, 2026 (Today)</w:t>
            </w:r>
          </w:p>
        </w:tc>
        <w:tc>
          <w:tcPr>
            <w:tcW w:type="dxa" w:w="2160"/>
          </w:tcPr>
          <w:p>
            <w:r>
              <w:rPr>
                <w:rFonts w:ascii="Calibri" w:hAnsi="Calibri"/>
                <w:b/>
                <w:sz w:val="22"/>
              </w:rPr>
              <w:t>Reporting Period</w:t>
            </w:r>
          </w:p>
        </w:tc>
        <w:tc>
          <w:tcPr>
            <w:tcW w:type="dxa" w:w="2160"/>
          </w:tcPr>
          <w:p>
            <w:r>
              <w:rPr>
                <w:rFonts w:ascii="Calibri" w:hAnsi="Calibri"/>
                <w:sz w:val="22"/>
              </w:rPr>
              <w:t>Q2 2026</w:t>
            </w:r>
          </w:p>
        </w:tc>
      </w:tr>
      <w:tr>
        <w:tc>
          <w:tcPr>
            <w:tcW w:type="dxa" w:w="2160"/>
          </w:tcPr>
          <w:p>
            <w:r>
              <w:rPr>
                <w:rFonts w:ascii="Calibri" w:hAnsi="Calibri"/>
                <w:b/>
                <w:sz w:val="22"/>
              </w:rPr>
              <w:t>Last Reported</w:t>
            </w:r>
          </w:p>
        </w:tc>
        <w:tc>
          <w:tcPr>
            <w:tcW w:type="dxa" w:w="2160"/>
          </w:tcPr>
          <w:p>
            <w:r>
              <w:rPr>
                <w:rFonts w:ascii="Calibri" w:hAnsi="Calibri"/>
                <w:sz w:val="22"/>
              </w:rPr>
              <w:t>Q1 2026 (April 28, 2026)</w:t>
            </w:r>
          </w:p>
        </w:tc>
        <w:tc>
          <w:tcPr>
            <w:tcW w:type="dxa" w:w="2160"/>
          </w:tcPr>
          <w:p>
            <w:r>
              <w:rPr>
                <w:rFonts w:ascii="Calibri" w:hAnsi="Calibri"/>
                <w:b/>
                <w:sz w:val="22"/>
              </w:rPr>
              <w:t>Prepared Date</w:t>
            </w:r>
          </w:p>
        </w:tc>
        <w:tc>
          <w:tcPr>
            <w:tcW w:type="dxa" w:w="2160"/>
          </w:tcPr>
          <w:p>
            <w:r>
              <w:rPr>
                <w:rFonts w:ascii="Calibri" w:hAnsi="Calibri"/>
                <w:sz w:val="22"/>
              </w:rPr>
              <w:t>July 28, 2026</w:t>
            </w:r>
          </w:p>
        </w:tc>
      </w:tr>
      <w:tr>
        <w:tc>
          <w:tcPr>
            <w:tcW w:type="dxa" w:w="2160"/>
          </w:tcPr>
          <w:p>
            <w:r>
              <w:rPr>
                <w:rFonts w:ascii="Calibri" w:hAnsi="Calibri"/>
                <w:b/>
                <w:sz w:val="22"/>
              </w:rPr>
              <w:t>Sector</w:t>
            </w:r>
          </w:p>
        </w:tc>
        <w:tc>
          <w:tcPr>
            <w:tcW w:type="dxa" w:w="2160"/>
          </w:tcPr>
          <w:p>
            <w:r>
              <w:rPr>
                <w:rFonts w:ascii="Calibri" w:hAnsi="Calibri"/>
                <w:sz w:val="22"/>
              </w:rPr>
              <w:t>REIT — Office</w:t>
            </w:r>
          </w:p>
        </w:tc>
        <w:tc>
          <w:tcPr>
            <w:tcW w:type="dxa" w:w="2160"/>
          </w:tcPr>
          <w:p>
            <w:r>
              <w:rPr>
                <w:rFonts w:ascii="Calibri" w:hAnsi="Calibri"/>
                <w:b/>
                <w:sz w:val="22"/>
              </w:rPr>
              <w:t>Primary Valuation KPI</w:t>
            </w:r>
          </w:p>
        </w:tc>
        <w:tc>
          <w:tcPr>
            <w:tcW w:type="dxa" w:w="2160"/>
          </w:tcPr>
          <w:p>
            <w:r>
              <w:rPr>
                <w:rFonts w:ascii="Calibri" w:hAnsi="Calibri"/>
                <w:sz w:val="22"/>
              </w:rPr>
              <w:t>FFO per Share (Price/FFO)</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moderately constructive — consensus FFO of $1.707 sits ~2.5% below management's Q2 guidance midpoint of $1.75, leaving room for a beat, but the stock's +17% run since Q1 earnings means execution must confirm the occupancy recovery story rather than just meet the bar; the single biggest swing factor is whether leasing CapEx normalizes from Q1's elevated pace or remains a persistent FAD headwind.</w:t>
      </w:r>
    </w:p>
    <w:p>
      <w:r>
        <w:rPr>
          <w:rFonts w:ascii="Calibri" w:hAnsi="Calibri"/>
          <w:color w:val="525866"/>
          <w:sz w:val="22"/>
        </w:rPr>
        <w:t xml:space="preserve">BXP enters Q2 2026 earnings with a </w:t>
      </w:r>
      <w:r>
        <w:rPr>
          <w:rFonts w:ascii="Calibri" w:hAnsi="Calibri"/>
          <w:b/>
          <w:color w:val="525866"/>
          <w:sz w:val="22"/>
        </w:rPr>
        <w:t>moderate but achievable bar</w:t>
      </w:r>
      <w:r>
        <w:rPr>
          <w:rFonts w:ascii="Calibri" w:hAnsi="Calibri"/>
          <w:color w:val="525866"/>
          <w:sz w:val="22"/>
        </w:rPr>
        <w:t xml:space="preserve"> — consensus FFO of $1.707/share sits roughly 2.5% below management's own Q2 guidance midpoint of $1.75, a gap that reflects Street skepticism around the pace of occupancy-to-NOI conversion rather than any fundamental deterioration. Management's tone has shifted decisively from cautious to confident since the Q1 print: the company raised full-year FFO guidance, increased its average occupancy assumption by 25 bps to 88.25%, and reaffirmed a year-end target of 89% with 'higher conviction' given leases already executed on vacant space — with over </w:t>
      </w:r>
      <w:r>
        <w:rPr>
          <w:rFonts w:ascii="Calibri" w:hAnsi="Calibri"/>
          <w:b/>
          <w:color w:val="525866"/>
          <w:sz w:val="22"/>
        </w:rPr>
        <w:t>800,000 sq ft of Q2 leasing already executed</w:t>
      </w:r>
      <w:r>
        <w:rPr>
          <w:rFonts w:ascii="Calibri" w:hAnsi="Calibri"/>
          <w:color w:val="525866"/>
          <w:sz w:val="22"/>
        </w:rPr>
        <w:t xml:space="preserve"> as of the REITweek conference in late May. Estimate revisions have been remarkably stable since Q1 earnings (FFO flat, occupancy slightly revised up), suggesting the Street is waiting for Q2 data to validate the trajectory rather than pre-positioning. The stock has already priced in a meaningful portion of the recovery narrative — up </w:t>
      </w:r>
      <w:r>
        <w:rPr>
          <w:rFonts w:ascii="Calibri" w:hAnsi="Calibri"/>
          <w:b/>
          <w:color w:val="525866"/>
          <w:sz w:val="22"/>
        </w:rPr>
        <w:t>+17% since Q1 earnings vs. IYR +4.8% and S&amp;P 500 +3.8%</w:t>
      </w:r>
      <w:r>
        <w:rPr>
          <w:rFonts w:ascii="Calibri" w:hAnsi="Calibri"/>
          <w:color w:val="525866"/>
          <w:sz w:val="22"/>
        </w:rPr>
        <w:t xml:space="preserve"> — implying the multiple has expanded alongside improving fundamentals, leaving less room for error. The key wildcard heading into the print is the </w:t>
      </w:r>
      <w:r>
        <w:rPr>
          <w:rFonts w:ascii="Calibri" w:hAnsi="Calibri"/>
          <w:b/>
          <w:color w:val="525866"/>
          <w:sz w:val="22"/>
        </w:rPr>
        <w:t>343 Madison Avenue construction loan closing</w:t>
      </w:r>
      <w:r>
        <w:rPr>
          <w:rFonts w:ascii="Calibri" w:hAnsi="Calibri"/>
          <w:color w:val="525866"/>
          <w:sz w:val="22"/>
        </w:rPr>
        <w:t xml:space="preserve"> (expected Q3 2026) and equity raise progress, which would derisk the largest item in BXP's development pipeline and could serve as a meaningful positive catalyst; any slippage in timing or pre-leasing momentum (currently 56%) would be the primary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FFO of $1.707 is a low bar relative to management's $1.75 midpoint guidance, creating room for a beat; occupancy at 87.93% consensus is the bigger swing factor — a second consecutive beat on occupancy would validate the recovery narrative and likely drive the stock more than an FFO beat alone.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FFO per Share — Diluted ($)</w:t>
            </w:r>
          </w:p>
        </w:tc>
        <w:tc>
          <w:tcPr>
            <w:tcW w:type="dxa" w:w="1234"/>
          </w:tcPr>
          <w:p>
            <w:r>
              <w:rPr>
                <w:rFonts w:ascii="Calibri" w:hAnsi="Calibri"/>
                <w:sz w:val="22"/>
              </w:rPr>
              <w:t>$1.59</w:t>
            </w:r>
          </w:p>
        </w:tc>
        <w:tc>
          <w:tcPr>
            <w:tcW w:type="dxa" w:w="1234"/>
          </w:tcPr>
          <w:p>
            <w:r>
              <w:rPr>
                <w:rFonts w:ascii="Calibri" w:hAnsi="Calibri"/>
                <w:sz w:val="22"/>
              </w:rPr>
              <w:t>$1.71</w:t>
            </w:r>
          </w:p>
        </w:tc>
        <w:tc>
          <w:tcPr>
            <w:tcW w:type="dxa" w:w="1234"/>
          </w:tcPr>
          <w:p>
            <w:r>
              <w:rPr>
                <w:rFonts w:ascii="Calibri" w:hAnsi="Calibri"/>
                <w:sz w:val="22"/>
              </w:rPr>
              <w:t>$1.707</w:t>
            </w:r>
          </w:p>
        </w:tc>
        <w:tc>
          <w:tcPr>
            <w:tcW w:type="dxa" w:w="1234"/>
          </w:tcPr>
          <w:p>
            <w:r>
              <w:rPr>
                <w:rFonts w:ascii="Calibri" w:hAnsi="Calibri"/>
                <w:b/>
                <w:color w:val="E5484D"/>
                <w:sz w:val="22"/>
              </w:rPr>
              <w:t>-0.2%</w:t>
            </w:r>
          </w:p>
        </w:tc>
        <w:tc>
          <w:tcPr>
            <w:tcW w:type="dxa" w:w="1234"/>
          </w:tcPr>
          <w:p>
            <w:r>
              <w:rPr>
                <w:rFonts w:ascii="Calibri" w:hAnsi="Calibri"/>
                <w:sz w:val="22"/>
              </w:rPr>
              <w:t>$1.725–$1.775 (mid $1.75)</w:t>
            </w:r>
          </w:p>
        </w:tc>
        <w:tc>
          <w:tcPr>
            <w:tcW w:type="dxa" w:w="1234"/>
          </w:tcPr>
          <w:p>
            <w:r>
              <w:rPr>
                <w:rFonts w:ascii="Calibri" w:hAnsi="Calibri"/>
                <w:b/>
                <w:color w:val="E5484D"/>
                <w:sz w:val="22"/>
              </w:rPr>
              <w:t>-2.5% below mid</w:t>
            </w:r>
          </w:p>
        </w:tc>
      </w:tr>
      <w:tr>
        <w:tc>
          <w:tcPr>
            <w:tcW w:type="dxa" w:w="1234"/>
          </w:tcPr>
          <w:p>
            <w:r>
              <w:rPr>
                <w:rFonts w:ascii="Calibri" w:hAnsi="Calibri"/>
                <w:sz w:val="22"/>
              </w:rPr>
              <w:t>Occupancy Rate (%)</w:t>
            </w:r>
          </w:p>
        </w:tc>
        <w:tc>
          <w:tcPr>
            <w:tcW w:type="dxa" w:w="1234"/>
          </w:tcPr>
          <w:p>
            <w:r>
              <w:rPr>
                <w:rFonts w:ascii="Calibri" w:hAnsi="Calibri"/>
                <w:sz w:val="22"/>
              </w:rPr>
              <w:t>87.4%</w:t>
            </w:r>
          </w:p>
        </w:tc>
        <w:tc>
          <w:tcPr>
            <w:tcW w:type="dxa" w:w="1234"/>
          </w:tcPr>
          <w:p>
            <w:r>
              <w:rPr>
                <w:rFonts w:ascii="Calibri" w:hAnsi="Calibri"/>
                <w:sz w:val="22"/>
              </w:rPr>
              <w:t>86.4%</w:t>
            </w:r>
          </w:p>
        </w:tc>
        <w:tc>
          <w:tcPr>
            <w:tcW w:type="dxa" w:w="1234"/>
          </w:tcPr>
          <w:p>
            <w:r>
              <w:rPr>
                <w:rFonts w:ascii="Calibri" w:hAnsi="Calibri"/>
                <w:sz w:val="22"/>
              </w:rPr>
              <w:t>87.93%</w:t>
            </w:r>
          </w:p>
        </w:tc>
        <w:tc>
          <w:tcPr>
            <w:tcW w:type="dxa" w:w="1234"/>
          </w:tcPr>
          <w:p>
            <w:r>
              <w:rPr>
                <w:rFonts w:ascii="Calibri" w:hAnsi="Calibri"/>
                <w:b/>
                <w:color w:val="30A46C"/>
                <w:sz w:val="22"/>
              </w:rPr>
              <w:t>+153 bps</w:t>
            </w:r>
          </w:p>
        </w:tc>
        <w:tc>
          <w:tcPr>
            <w:tcW w:type="dxa" w:w="1234"/>
          </w:tcPr>
          <w:p>
            <w:r>
              <w:rPr>
                <w:rFonts w:ascii="Calibri" w:hAnsi="Calibri"/>
                <w:sz w:val="22"/>
              </w:rPr>
              <w:t>~88.25% avg; 89% YE target</w:t>
            </w:r>
          </w:p>
        </w:tc>
        <w:tc>
          <w:tcPr>
            <w:tcW w:type="dxa" w:w="1234"/>
          </w:tcPr>
          <w:p>
            <w:r>
              <w:rPr>
                <w:rFonts w:ascii="Calibri" w:hAnsi="Calibri"/>
                <w:sz w:val="22"/>
              </w:rPr>
              <w:t>~32 bps below avg</w:t>
            </w:r>
          </w:p>
        </w:tc>
      </w:tr>
      <w:tr>
        <w:tc>
          <w:tcPr>
            <w:tcW w:type="dxa" w:w="1234"/>
          </w:tcPr>
          <w:p>
            <w:r>
              <w:rPr>
                <w:rFonts w:ascii="Calibri" w:hAnsi="Calibri"/>
                <w:sz w:val="22"/>
              </w:rPr>
              <w:t>Same-Store NOI — Office ($M)</w:t>
            </w:r>
          </w:p>
        </w:tc>
        <w:tc>
          <w:tcPr>
            <w:tcW w:type="dxa" w:w="1234"/>
          </w:tcPr>
          <w:p>
            <w:r>
              <w:rPr>
                <w:rFonts w:ascii="Calibri" w:hAnsi="Calibri"/>
                <w:sz w:val="22"/>
              </w:rPr>
              <w:t>$492.0M</w:t>
            </w:r>
          </w:p>
        </w:tc>
        <w:tc>
          <w:tcPr>
            <w:tcW w:type="dxa" w:w="1234"/>
          </w:tcPr>
          <w:p>
            <w:r>
              <w:rPr>
                <w:rFonts w:ascii="Calibri" w:hAnsi="Calibri"/>
                <w:sz w:val="22"/>
              </w:rPr>
              <w:t>$488.6M</w:t>
            </w:r>
          </w:p>
        </w:tc>
        <w:tc>
          <w:tcPr>
            <w:tcW w:type="dxa" w:w="1234"/>
          </w:tcPr>
          <w:p>
            <w:r>
              <w:rPr>
                <w:rFonts w:ascii="Calibri" w:hAnsi="Calibri"/>
                <w:sz w:val="22"/>
              </w:rPr>
              <w:t>$473.9M</w:t>
            </w:r>
          </w:p>
        </w:tc>
        <w:tc>
          <w:tcPr>
            <w:tcW w:type="dxa" w:w="1234"/>
          </w:tcPr>
          <w:p>
            <w:r>
              <w:rPr>
                <w:rFonts w:ascii="Calibri" w:hAnsi="Calibri"/>
                <w:b/>
                <w:color w:val="E5484D"/>
                <w:sz w:val="22"/>
              </w:rPr>
              <w:t>-3.0%</w:t>
            </w:r>
          </w:p>
        </w:tc>
        <w:tc>
          <w:tcPr>
            <w:tcW w:type="dxa" w:w="1234"/>
          </w:tcPr>
          <w:p>
            <w:r>
              <w:rPr>
                <w:rFonts w:ascii="Calibri" w:hAnsi="Calibri"/>
                <w:sz w:val="22"/>
              </w:rPr>
              <w:t>1.4%–2.4% FY growth</w:t>
            </w:r>
          </w:p>
        </w:tc>
        <w:tc>
          <w:tcPr>
            <w:tcW w:type="dxa" w:w="1234"/>
          </w:tcPr>
          <w:p>
            <w:r>
              <w:rPr>
                <w:rFonts w:ascii="Calibri" w:hAnsi="Calibri"/>
                <w:sz w:val="22"/>
              </w:rPr>
              <w:t>N/A (FY metric)</w:t>
            </w:r>
          </w:p>
        </w:tc>
      </w:tr>
      <w:tr>
        <w:tc>
          <w:tcPr>
            <w:tcW w:type="dxa" w:w="1234"/>
          </w:tcPr>
          <w:p>
            <w:r>
              <w:rPr>
                <w:rFonts w:ascii="Calibri" w:hAnsi="Calibri"/>
                <w:sz w:val="22"/>
              </w:rPr>
              <w:t>Same-Store NOI Growth YoY (%)</w:t>
            </w:r>
          </w:p>
        </w:tc>
        <w:tc>
          <w:tcPr>
            <w:tcW w:type="dxa" w:w="1234"/>
          </w:tcPr>
          <w:p>
            <w:r>
              <w:rPr>
                <w:rFonts w:ascii="Calibri" w:hAnsi="Calibri"/>
                <w:sz w:val="22"/>
              </w:rPr>
              <w:t>-1.0%</w:t>
            </w:r>
          </w:p>
        </w:tc>
        <w:tc>
          <w:tcPr>
            <w:tcW w:type="dxa" w:w="1234"/>
          </w:tcPr>
          <w:p>
            <w:r>
              <w:rPr>
                <w:rFonts w:ascii="Calibri" w:hAnsi="Calibri"/>
                <w:sz w:val="22"/>
              </w:rPr>
              <w:t>-0.1%</w:t>
            </w:r>
          </w:p>
        </w:tc>
        <w:tc>
          <w:tcPr>
            <w:tcW w:type="dxa" w:w="1234"/>
          </w:tcPr>
          <w:p>
            <w:r>
              <w:rPr>
                <w:rFonts w:ascii="Calibri" w:hAnsi="Calibri"/>
                <w:sz w:val="22"/>
              </w:rPr>
              <w:t>-1.6%</w:t>
            </w:r>
          </w:p>
        </w:tc>
        <w:tc>
          <w:tcPr>
            <w:tcW w:type="dxa" w:w="1234"/>
          </w:tcPr>
          <w:p>
            <w:r>
              <w:rPr>
                <w:rFonts w:ascii="Calibri" w:hAnsi="Calibri"/>
                <w:sz w:val="22"/>
              </w:rPr>
              <w:t>N/A</w:t>
            </w:r>
          </w:p>
        </w:tc>
        <w:tc>
          <w:tcPr>
            <w:tcW w:type="dxa" w:w="1234"/>
          </w:tcPr>
          <w:p>
            <w:r>
              <w:rPr>
                <w:rFonts w:ascii="Calibri" w:hAnsi="Calibri"/>
                <w:sz w:val="22"/>
              </w:rPr>
              <w:t>1.4%–2.4% FY growth</w:t>
            </w:r>
          </w:p>
        </w:tc>
        <w:tc>
          <w:tcPr>
            <w:tcW w:type="dxa" w:w="1234"/>
          </w:tcPr>
          <w:p>
            <w:r>
              <w:rPr>
                <w:rFonts w:ascii="Calibri" w:hAnsi="Calibri"/>
                <w:sz w:val="22"/>
              </w:rPr>
              <w:t>N/A (FY metric)</w:t>
            </w:r>
          </w:p>
        </w:tc>
      </w:tr>
      <w:tr>
        <w:tc>
          <w:tcPr>
            <w:tcW w:type="dxa" w:w="1234"/>
          </w:tcPr>
          <w:p>
            <w:r>
              <w:rPr>
                <w:rFonts w:ascii="Calibri" w:hAnsi="Calibri"/>
                <w:sz w:val="22"/>
              </w:rPr>
              <w:t>Total Revenues ($M)</w:t>
            </w:r>
          </w:p>
        </w:tc>
        <w:tc>
          <w:tcPr>
            <w:tcW w:type="dxa" w:w="1234"/>
          </w:tcPr>
          <w:p>
            <w:r>
              <w:rPr>
                <w:rFonts w:ascii="Calibri" w:hAnsi="Calibri"/>
                <w:sz w:val="22"/>
              </w:rPr>
              <w:t>$849.0M</w:t>
            </w:r>
          </w:p>
        </w:tc>
        <w:tc>
          <w:tcPr>
            <w:tcW w:type="dxa" w:w="1234"/>
          </w:tcPr>
          <w:p>
            <w:r>
              <w:rPr>
                <w:rFonts w:ascii="Calibri" w:hAnsi="Calibri"/>
                <w:sz w:val="22"/>
              </w:rPr>
              <w:t>$840.7M</w:t>
            </w:r>
          </w:p>
        </w:tc>
        <w:tc>
          <w:tcPr>
            <w:tcW w:type="dxa" w:w="1234"/>
          </w:tcPr>
          <w:p>
            <w:r>
              <w:rPr>
                <w:rFonts w:ascii="Calibri" w:hAnsi="Calibri"/>
                <w:sz w:val="22"/>
              </w:rPr>
              <w:t>$843.4M</w:t>
            </w:r>
          </w:p>
        </w:tc>
        <w:tc>
          <w:tcPr>
            <w:tcW w:type="dxa" w:w="1234"/>
          </w:tcPr>
          <w:p>
            <w:r>
              <w:rPr>
                <w:rFonts w:ascii="Calibri" w:hAnsi="Calibri"/>
                <w:sz w:val="22"/>
              </w:rPr>
              <w:t>+0.3%</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Net Operating Income ($M)</w:t>
            </w:r>
          </w:p>
        </w:tc>
        <w:tc>
          <w:tcPr>
            <w:tcW w:type="dxa" w:w="1234"/>
          </w:tcPr>
          <w:p>
            <w:r>
              <w:rPr>
                <w:rFonts w:ascii="Calibri" w:hAnsi="Calibri"/>
                <w:sz w:val="22"/>
              </w:rPr>
              <w:t>$505.9M</w:t>
            </w:r>
          </w:p>
        </w:tc>
        <w:tc>
          <w:tcPr>
            <w:tcW w:type="dxa" w:w="1234"/>
          </w:tcPr>
          <w:p>
            <w:r>
              <w:rPr>
                <w:rFonts w:ascii="Calibri" w:hAnsi="Calibri"/>
                <w:sz w:val="22"/>
              </w:rPr>
              <w:t>$509.4M</w:t>
            </w:r>
          </w:p>
        </w:tc>
        <w:tc>
          <w:tcPr>
            <w:tcW w:type="dxa" w:w="1234"/>
          </w:tcPr>
          <w:p>
            <w:r>
              <w:rPr>
                <w:rFonts w:ascii="Calibri" w:hAnsi="Calibri"/>
                <w:sz w:val="22"/>
              </w:rPr>
              <w:t>$508.5M</w:t>
            </w:r>
          </w:p>
        </w:tc>
        <w:tc>
          <w:tcPr>
            <w:tcW w:type="dxa" w:w="1234"/>
          </w:tcPr>
          <w:p>
            <w:r>
              <w:rPr>
                <w:rFonts w:ascii="Calibri" w:hAnsi="Calibri"/>
                <w:sz w:val="22"/>
              </w:rPr>
              <w:t>-0.2%</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FFO guidance range of $1.725–$1.775 stated on Q1 2026 earnings call (April 28, 2026). Consensus estimates as of July 28, 2026.</w:t>
      </w:r>
    </w:p>
    <w:p>
      <w:pPr>
        <w:pStyle w:val="Heading3"/>
      </w:pPr>
      <w:r>
        <w:rPr>
          <w:rFonts w:ascii="Calibri" w:hAnsi="Calibri"/>
          <w:b/>
          <w:color w:val="3B4259"/>
          <w:sz w:val="24"/>
        </w:rPr>
        <w:t>Table 2 — Beat/Miss History (Last 8 Quarters)</w:t>
      </w:r>
    </w:p>
    <w:p>
      <w:r>
        <w:rPr>
          <w:rFonts w:ascii="Calibri" w:hAnsi="Calibri"/>
          <w:b/>
          <w:color w:val="525866"/>
          <w:sz w:val="22"/>
        </w:rPr>
        <w:t>Top KPI #1: FFO per Share —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$1.77</w:t>
            </w:r>
          </w:p>
        </w:tc>
        <w:tc>
          <w:tcPr>
            <w:tcW w:type="dxa" w:w="1728"/>
          </w:tcPr>
          <w:p>
            <w:r>
              <w:rPr>
                <w:rFonts w:ascii="Calibri" w:hAnsi="Calibri"/>
                <w:sz w:val="22"/>
              </w:rPr>
              <w:t>$1.725</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$1.81</w:t>
            </w:r>
          </w:p>
        </w:tc>
        <w:tc>
          <w:tcPr>
            <w:tcW w:type="dxa" w:w="1728"/>
          </w:tcPr>
          <w:p>
            <w:r>
              <w:rPr>
                <w:rFonts w:ascii="Calibri" w:hAnsi="Calibri"/>
                <w:sz w:val="22"/>
              </w:rPr>
              <w:t>$1.806</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$1.79</w:t>
            </w:r>
          </w:p>
        </w:tc>
        <w:tc>
          <w:tcPr>
            <w:tcW w:type="dxa" w:w="1728"/>
          </w:tcPr>
          <w:p>
            <w:r>
              <w:rPr>
                <w:rFonts w:ascii="Calibri" w:hAnsi="Calibri"/>
                <w:sz w:val="22"/>
              </w:rPr>
              <w:t>$1.793</w:t>
            </w:r>
          </w:p>
        </w:tc>
        <w:tc>
          <w:tcPr>
            <w:tcW w:type="dxa" w:w="1728"/>
          </w:tcPr>
          <w:p>
            <w:r>
              <w:rPr>
                <w:rFonts w:ascii="Calibri" w:hAnsi="Calibri"/>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$1.64</w:t>
            </w:r>
          </w:p>
        </w:tc>
        <w:tc>
          <w:tcPr>
            <w:tcW w:type="dxa" w:w="1728"/>
          </w:tcPr>
          <w:p>
            <w:r>
              <w:rPr>
                <w:rFonts w:ascii="Calibri" w:hAnsi="Calibri"/>
                <w:sz w:val="22"/>
              </w:rPr>
              <w:t>$1.646</w:t>
            </w:r>
          </w:p>
        </w:tc>
        <w:tc>
          <w:tcPr>
            <w:tcW w:type="dxa" w:w="1728"/>
          </w:tcPr>
          <w:p>
            <w:r>
              <w:rPr>
                <w:rFonts w:ascii="Calibri" w:hAnsi="Calibri"/>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$1.71</w:t>
            </w:r>
          </w:p>
        </w:tc>
        <w:tc>
          <w:tcPr>
            <w:tcW w:type="dxa" w:w="1728"/>
          </w:tcPr>
          <w:p>
            <w:r>
              <w:rPr>
                <w:rFonts w:ascii="Calibri" w:hAnsi="Calibri"/>
                <w:sz w:val="22"/>
              </w:rPr>
              <w:t>$1.673</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$1.74</w:t>
            </w:r>
          </w:p>
        </w:tc>
        <w:tc>
          <w:tcPr>
            <w:tcW w:type="dxa" w:w="1728"/>
          </w:tcPr>
          <w:p>
            <w:r>
              <w:rPr>
                <w:rFonts w:ascii="Calibri" w:hAnsi="Calibri"/>
                <w:sz w:val="22"/>
              </w:rPr>
              <w:t>$1.721</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$1.76</w:t>
            </w:r>
          </w:p>
        </w:tc>
        <w:tc>
          <w:tcPr>
            <w:tcW w:type="dxa" w:w="1728"/>
          </w:tcPr>
          <w:p>
            <w:r>
              <w:rPr>
                <w:rFonts w:ascii="Calibri" w:hAnsi="Calibri"/>
                <w:sz w:val="22"/>
              </w:rPr>
              <w:t>$1.806</w:t>
            </w:r>
          </w:p>
        </w:tc>
        <w:tc>
          <w:tcPr>
            <w:tcW w:type="dxa" w:w="1728"/>
          </w:tcPr>
          <w:p>
            <w:r>
              <w:rPr>
                <w:rFonts w:ascii="Calibri" w:hAnsi="Calibri"/>
                <w:sz w:val="22"/>
              </w:rPr>
              <w:t>-2.5%</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$1.59</w:t>
            </w:r>
          </w:p>
        </w:tc>
        <w:tc>
          <w:tcPr>
            <w:tcW w:type="dxa" w:w="1728"/>
          </w:tcPr>
          <w:p>
            <w:r>
              <w:rPr>
                <w:rFonts w:ascii="Calibri" w:hAnsi="Calibri"/>
                <w:sz w:val="22"/>
              </w:rPr>
              <w:t>$1.583</w:t>
            </w:r>
          </w:p>
        </w:tc>
        <w:tc>
          <w:tcPr>
            <w:tcW w:type="dxa" w:w="1728"/>
          </w:tcPr>
          <w:p>
            <w:r>
              <w:rPr>
                <w:rFonts w:ascii="Calibri" w:hAnsi="Calibri"/>
                <w:sz w:val="22"/>
              </w:rPr>
              <w:t>+0.4%</w:t>
            </w:r>
          </w:p>
        </w:tc>
        <w:tc>
          <w:tcPr>
            <w:tcW w:type="dxa" w:w="1728"/>
          </w:tcPr>
          <w:p>
            <w:r>
              <w:rPr>
                <w:rFonts w:ascii="Calibri" w:hAnsi="Calibri"/>
                <w:b/>
                <w:color w:val="30A46C"/>
                <w:sz w:val="22"/>
              </w:rPr>
              <w:t>Beat</w:t>
            </w:r>
          </w:p>
        </w:tc>
      </w:tr>
    </w:tbl>
    <w:p>
      <w:r>
        <w:rPr>
          <w:rFonts w:ascii="Calibri" w:hAnsi="Calibri"/>
          <w:b/>
          <w:color w:val="525866"/>
          <w:sz w:val="22"/>
        </w:rPr>
        <w:t>Top KPI #2: Occupancy Rate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87.1%</w:t>
            </w:r>
          </w:p>
        </w:tc>
        <w:tc>
          <w:tcPr>
            <w:tcW w:type="dxa" w:w="1728"/>
          </w:tcPr>
          <w:p>
            <w:r>
              <w:rPr>
                <w:rFonts w:ascii="Calibri" w:hAnsi="Calibri"/>
                <w:sz w:val="22"/>
              </w:rPr>
              <w:t>87.69%</w:t>
            </w:r>
          </w:p>
        </w:tc>
        <w:tc>
          <w:tcPr>
            <w:tcW w:type="dxa" w:w="1728"/>
          </w:tcPr>
          <w:p>
            <w:r>
              <w:rPr>
                <w:rFonts w:ascii="Calibri" w:hAnsi="Calibri"/>
                <w:sz w:val="22"/>
              </w:rPr>
              <w:t>-59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87.0%</w:t>
            </w:r>
          </w:p>
        </w:tc>
        <w:tc>
          <w:tcPr>
            <w:tcW w:type="dxa" w:w="1728"/>
          </w:tcPr>
          <w:p>
            <w:r>
              <w:rPr>
                <w:rFonts w:ascii="Calibri" w:hAnsi="Calibri"/>
                <w:sz w:val="22"/>
              </w:rPr>
              <w:t>86.89%</w:t>
            </w:r>
          </w:p>
        </w:tc>
        <w:tc>
          <w:tcPr>
            <w:tcW w:type="dxa" w:w="1728"/>
          </w:tcPr>
          <w:p>
            <w:r>
              <w:rPr>
                <w:rFonts w:ascii="Calibri" w:hAnsi="Calibri"/>
                <w:sz w:val="22"/>
              </w:rPr>
              <w:t>+11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87.5%</w:t>
            </w:r>
          </w:p>
        </w:tc>
        <w:tc>
          <w:tcPr>
            <w:tcW w:type="dxa" w:w="1728"/>
          </w:tcPr>
          <w:p>
            <w:r>
              <w:rPr>
                <w:rFonts w:ascii="Calibri" w:hAnsi="Calibri"/>
                <w:sz w:val="22"/>
              </w:rPr>
              <w:t>87.18%</w:t>
            </w:r>
          </w:p>
        </w:tc>
        <w:tc>
          <w:tcPr>
            <w:tcW w:type="dxa" w:w="1728"/>
          </w:tcPr>
          <w:p>
            <w:r>
              <w:rPr>
                <w:rFonts w:ascii="Calibri" w:hAnsi="Calibri"/>
                <w:sz w:val="22"/>
              </w:rPr>
              <w:t>+32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86.9%</w:t>
            </w:r>
          </w:p>
        </w:tc>
        <w:tc>
          <w:tcPr>
            <w:tcW w:type="dxa" w:w="1728"/>
          </w:tcPr>
          <w:p>
            <w:r>
              <w:rPr>
                <w:rFonts w:ascii="Calibri" w:hAnsi="Calibri"/>
                <w:sz w:val="22"/>
              </w:rPr>
              <w:t>87.24%</w:t>
            </w:r>
          </w:p>
        </w:tc>
        <w:tc>
          <w:tcPr>
            <w:tcW w:type="dxa" w:w="1728"/>
          </w:tcPr>
          <w:p>
            <w:r>
              <w:rPr>
                <w:rFonts w:ascii="Calibri" w:hAnsi="Calibri"/>
                <w:sz w:val="22"/>
              </w:rPr>
              <w:t>-34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86.4%</w:t>
            </w:r>
          </w:p>
        </w:tc>
        <w:tc>
          <w:tcPr>
            <w:tcW w:type="dxa" w:w="1728"/>
          </w:tcPr>
          <w:p>
            <w:r>
              <w:rPr>
                <w:rFonts w:ascii="Calibri" w:hAnsi="Calibri"/>
                <w:sz w:val="22"/>
              </w:rPr>
              <w:t>86.74%</w:t>
            </w:r>
          </w:p>
        </w:tc>
        <w:tc>
          <w:tcPr>
            <w:tcW w:type="dxa" w:w="1728"/>
          </w:tcPr>
          <w:p>
            <w:r>
              <w:rPr>
                <w:rFonts w:ascii="Calibri" w:hAnsi="Calibri"/>
                <w:sz w:val="22"/>
              </w:rPr>
              <w:t>-34 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86.0%</w:t>
            </w:r>
          </w:p>
        </w:tc>
        <w:tc>
          <w:tcPr>
            <w:tcW w:type="dxa" w:w="1728"/>
          </w:tcPr>
          <w:p>
            <w:r>
              <w:rPr>
                <w:rFonts w:ascii="Calibri" w:hAnsi="Calibri"/>
                <w:sz w:val="22"/>
              </w:rPr>
              <w:t>86.62%</w:t>
            </w:r>
          </w:p>
        </w:tc>
        <w:tc>
          <w:tcPr>
            <w:tcW w:type="dxa" w:w="1728"/>
          </w:tcPr>
          <w:p>
            <w:r>
              <w:rPr>
                <w:rFonts w:ascii="Calibri" w:hAnsi="Calibri"/>
                <w:sz w:val="22"/>
              </w:rPr>
              <w:t>-62 bps</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86.7%</w:t>
            </w:r>
          </w:p>
        </w:tc>
        <w:tc>
          <w:tcPr>
            <w:tcW w:type="dxa" w:w="1728"/>
          </w:tcPr>
          <w:p>
            <w:r>
              <w:rPr>
                <w:rFonts w:ascii="Calibri" w:hAnsi="Calibri"/>
                <w:sz w:val="22"/>
              </w:rPr>
              <w:t>86.47%</w:t>
            </w:r>
          </w:p>
        </w:tc>
        <w:tc>
          <w:tcPr>
            <w:tcW w:type="dxa" w:w="1728"/>
          </w:tcPr>
          <w:p>
            <w:r>
              <w:rPr>
                <w:rFonts w:ascii="Calibri" w:hAnsi="Calibri"/>
                <w:sz w:val="22"/>
              </w:rPr>
              <w:t>+23 bps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87.4%</w:t>
            </w:r>
          </w:p>
        </w:tc>
        <w:tc>
          <w:tcPr>
            <w:tcW w:type="dxa" w:w="1728"/>
          </w:tcPr>
          <w:p>
            <w:r>
              <w:rPr>
                <w:rFonts w:ascii="Calibri" w:hAnsi="Calibri"/>
                <w:sz w:val="22"/>
              </w:rPr>
              <w:t>86.84%</w:t>
            </w:r>
          </w:p>
        </w:tc>
        <w:tc>
          <w:tcPr>
            <w:tcW w:type="dxa" w:w="1728"/>
          </w:tcPr>
          <w:p>
            <w:r>
              <w:rPr>
                <w:rFonts w:ascii="Calibri" w:hAnsi="Calibri"/>
                <w:sz w:val="22"/>
              </w:rPr>
              <w:t>+56 bps</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FFO beats have been inconsistent (5 beats, 3 misses over 8 quarters), with misses concentrated in periods of elevated interest expense or termination income volatility. Occupancy was a persistent miss for five consecutive quarters through Q3 2025, but has beaten in the last two quarters — a meaningful inflection that gives the occupancy recovery narrative increasing credibility heading into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post-earnings guidance revisions have been filed since the Q1 2026 call — management's tone has shifted from cautious to confident, with the occupancy trajectory described as 'achievable and more likely' than at Investor Day; the key divergence is Same-Store NOI growth, where management guides 1.4%–2.4% for FY 2026 while consensus implies near-flat growth, a gap the Q2 print will begin to resolve.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FFO/Share</w:t>
            </w:r>
          </w:p>
        </w:tc>
        <w:tc>
          <w:tcPr>
            <w:tcW w:type="dxa" w:w="1728"/>
          </w:tcPr>
          <w:p>
            <w:r>
              <w:rPr>
                <w:rFonts w:ascii="Calibri" w:hAnsi="Calibri"/>
                <w:sz w:val="22"/>
              </w:rPr>
              <w:t>$1.725–$1.775 (mid $1.75)</w:t>
            </w:r>
          </w:p>
        </w:tc>
        <w:tc>
          <w:tcPr>
            <w:tcW w:type="dxa" w:w="1728"/>
          </w:tcPr>
          <w:p>
            <w:r>
              <w:rPr>
                <w:rFonts w:ascii="Calibri" w:hAnsi="Calibri"/>
                <w:sz w:val="22"/>
              </w:rPr>
              <w:t>—</w:t>
            </w:r>
          </w:p>
        </w:tc>
        <w:tc>
          <w:tcPr>
            <w:tcW w:type="dxa" w:w="1728"/>
          </w:tcPr>
          <w:p>
            <w:r>
              <w:rPr>
                <w:rFonts w:ascii="Calibri" w:hAnsi="Calibri"/>
                <w:sz w:val="22"/>
              </w:rPr>
              <w:t>$1.707</w:t>
            </w:r>
          </w:p>
        </w:tc>
        <w:tc>
          <w:tcPr>
            <w:tcW w:type="dxa" w:w="1728"/>
          </w:tcPr>
          <w:p>
            <w:r>
              <w:rPr>
                <w:rFonts w:ascii="Calibri" w:hAnsi="Calibri"/>
                <w:sz w:val="22"/>
              </w:rPr>
              <w:t>Consensus ~2.5% below midpoint; no post-earnings revision filed</w:t>
            </w:r>
          </w:p>
        </w:tc>
      </w:tr>
      <w:tr>
        <w:tc>
          <w:tcPr>
            <w:tcW w:type="dxa" w:w="1728"/>
          </w:tcPr>
          <w:p>
            <w:r>
              <w:rPr>
                <w:rFonts w:ascii="Calibri" w:hAnsi="Calibri"/>
                <w:sz w:val="22"/>
              </w:rPr>
              <w:t>FY 2026 FFO/Share</w:t>
            </w:r>
          </w:p>
        </w:tc>
        <w:tc>
          <w:tcPr>
            <w:tcW w:type="dxa" w:w="1728"/>
          </w:tcPr>
          <w:p>
            <w:r>
              <w:rPr>
                <w:rFonts w:ascii="Calibri" w:hAnsi="Calibri"/>
                <w:sz w:val="22"/>
              </w:rPr>
              <w:t>$6.90–$7.04 (mid $6.97); raised from prior $6.89–$7.04</w:t>
            </w:r>
          </w:p>
        </w:tc>
        <w:tc>
          <w:tcPr>
            <w:tcW w:type="dxa" w:w="1728"/>
          </w:tcPr>
          <w:p>
            <w:r>
              <w:rPr>
                <w:rFonts w:ascii="Calibri" w:hAnsi="Calibri"/>
                <w:sz w:val="22"/>
              </w:rPr>
              <w:t>—</w:t>
            </w:r>
          </w:p>
        </w:tc>
        <w:tc>
          <w:tcPr>
            <w:tcW w:type="dxa" w:w="1728"/>
          </w:tcPr>
          <w:p>
            <w:r>
              <w:rPr>
                <w:rFonts w:ascii="Calibri" w:hAnsi="Calibri"/>
                <w:sz w:val="22"/>
              </w:rPr>
              <w:t>$6.966</w:t>
            </w:r>
          </w:p>
        </w:tc>
        <w:tc>
          <w:tcPr>
            <w:tcW w:type="dxa" w:w="1728"/>
          </w:tcPr>
          <w:p>
            <w:r>
              <w:rPr>
                <w:rFonts w:ascii="Calibri" w:hAnsi="Calibri"/>
                <w:sz w:val="22"/>
              </w:rPr>
              <w:t>Consensus essentially at midpoint; ↑ Raised midpoint $0.01 at Q1 call driven by same-property NOI, termination income, and development activity, partially offset by higher interest expense</w:t>
            </w:r>
          </w:p>
        </w:tc>
      </w:tr>
      <w:tr>
        <w:tc>
          <w:tcPr>
            <w:tcW w:type="dxa" w:w="1728"/>
          </w:tcPr>
          <w:p>
            <w:r>
              <w:rPr>
                <w:rFonts w:ascii="Calibri" w:hAnsi="Calibri"/>
                <w:sz w:val="22"/>
              </w:rPr>
              <w:t>FY 2026 Avg Occupancy</w:t>
            </w:r>
          </w:p>
        </w:tc>
        <w:tc>
          <w:tcPr>
            <w:tcW w:type="dxa" w:w="1728"/>
          </w:tcPr>
          <w:p>
            <w:r>
              <w:rPr>
                <w:rFonts w:ascii="Calibri" w:hAnsi="Calibri"/>
                <w:sz w:val="22"/>
              </w:rPr>
              <w:t>~88.25% (raised 25 bps from prior guidance)</w:t>
            </w:r>
          </w:p>
        </w:tc>
        <w:tc>
          <w:tcPr>
            <w:tcW w:type="dxa" w:w="1728"/>
          </w:tcPr>
          <w:p>
            <w:r>
              <w:rPr>
                <w:rFonts w:ascii="Calibri" w:hAnsi="Calibri"/>
                <w:sz w:val="22"/>
              </w:rPr>
              <w:t>—</w:t>
            </w:r>
          </w:p>
        </w:tc>
        <w:tc>
          <w:tcPr>
            <w:tcW w:type="dxa" w:w="1728"/>
          </w:tcPr>
          <w:p>
            <w:r>
              <w:rPr>
                <w:rFonts w:ascii="Calibri" w:hAnsi="Calibri"/>
                <w:sz w:val="22"/>
              </w:rPr>
              <w:t>88.59%</w:t>
            </w:r>
          </w:p>
        </w:tc>
        <w:tc>
          <w:tcPr>
            <w:tcW w:type="dxa" w:w="1728"/>
          </w:tcPr>
          <w:p>
            <w:r>
              <w:rPr>
                <w:rFonts w:ascii="Calibri" w:hAnsi="Calibri"/>
                <w:sz w:val="22"/>
              </w:rPr>
              <w:t>↑ Raised 25 bps at Q1 call; consensus slightly above guidance avg; YE target 89% reaffirmed with higher conviction</w:t>
            </w:r>
          </w:p>
        </w:tc>
      </w:tr>
      <w:tr>
        <w:tc>
          <w:tcPr>
            <w:tcW w:type="dxa" w:w="1728"/>
          </w:tcPr>
          <w:p>
            <w:r>
              <w:rPr>
                <w:rFonts w:ascii="Calibri" w:hAnsi="Calibri"/>
                <w:sz w:val="22"/>
              </w:rPr>
              <w:t>FY 2026 Same-Store NOI Growth</w:t>
            </w:r>
          </w:p>
        </w:tc>
        <w:tc>
          <w:tcPr>
            <w:tcW w:type="dxa" w:w="1728"/>
          </w:tcPr>
          <w:p>
            <w:r>
              <w:rPr>
                <w:rFonts w:ascii="Calibri" w:hAnsi="Calibri"/>
                <w:sz w:val="22"/>
              </w:rPr>
              <w:t>1.4%–2.4% (raised 15 bps from prior)</w:t>
            </w:r>
          </w:p>
        </w:tc>
        <w:tc>
          <w:tcPr>
            <w:tcW w:type="dxa" w:w="1728"/>
          </w:tcPr>
          <w:p>
            <w:r>
              <w:rPr>
                <w:rFonts w:ascii="Calibri" w:hAnsi="Calibri"/>
                <w:sz w:val="22"/>
              </w:rPr>
              <w:t>—</w:t>
            </w:r>
          </w:p>
        </w:tc>
        <w:tc>
          <w:tcPr>
            <w:tcW w:type="dxa" w:w="1728"/>
          </w:tcPr>
          <w:p>
            <w:r>
              <w:rPr>
                <w:rFonts w:ascii="Calibri" w:hAnsi="Calibri"/>
                <w:sz w:val="22"/>
              </w:rPr>
              <w:t>~0.1% FY (consensus)</w:t>
            </w:r>
          </w:p>
        </w:tc>
        <w:tc>
          <w:tcPr>
            <w:tcW w:type="dxa" w:w="1728"/>
          </w:tcPr>
          <w:p>
            <w:r>
              <w:rPr>
                <w:rFonts w:ascii="Calibri" w:hAnsi="Calibri"/>
                <w:sz w:val="22"/>
              </w:rPr>
              <w:t>Key divergence — Street well below guidance midpoint (~1.9%); skepticism on occupancy-to-NOI conversion timeline</w:t>
            </w:r>
          </w:p>
        </w:tc>
      </w:tr>
      <w:tr>
        <w:tc>
          <w:tcPr>
            <w:tcW w:type="dxa" w:w="1728"/>
          </w:tcPr>
          <w:p>
            <w:r>
              <w:rPr>
                <w:rFonts w:ascii="Calibri" w:hAnsi="Calibri"/>
                <w:sz w:val="22"/>
              </w:rPr>
              <w:t>FY 2026 Leasing Volume</w:t>
            </w:r>
          </w:p>
        </w:tc>
        <w:tc>
          <w:tcPr>
            <w:tcW w:type="dxa" w:w="1728"/>
          </w:tcPr>
          <w:p>
            <w:r>
              <w:rPr>
                <w:rFonts w:ascii="Calibri" w:hAnsi="Calibri"/>
                <w:sz w:val="22"/>
              </w:rPr>
              <w:t>Minimum 4M sq ft for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1.5M sq ft executed YTD as of Q1 call; 800K+ sq ft in Q2 per REITweek (May 27)</w:t>
            </w:r>
          </w:p>
        </w:tc>
      </w:tr>
      <w:tr>
        <w:tc>
          <w:tcPr>
            <w:tcW w:type="dxa" w:w="1728"/>
          </w:tcPr>
          <w:p>
            <w:r>
              <w:rPr>
                <w:rFonts w:ascii="Calibri" w:hAnsi="Calibri"/>
                <w:sz w:val="22"/>
              </w:rPr>
              <w:t>343 Madison Const. Loan</w:t>
            </w:r>
          </w:p>
        </w:tc>
        <w:tc>
          <w:tcPr>
            <w:tcW w:type="dxa" w:w="1728"/>
          </w:tcPr>
          <w:p>
            <w:r>
              <w:rPr>
                <w:rFonts w:ascii="Calibri" w:hAnsi="Calibri"/>
                <w:sz w:val="22"/>
              </w:rPr>
              <w:t>~$1.2B term sheet agreed; closing expected Q3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56% pre-leased; equity raise targeting $150M–$400M from intl family offices; steel delivery July 2026</w:t>
            </w:r>
          </w:p>
        </w:tc>
      </w:tr>
      <w:tr>
        <w:tc>
          <w:tcPr>
            <w:tcW w:type="dxa" w:w="1728"/>
          </w:tcPr>
          <w:p>
            <w:r>
              <w:rPr>
                <w:rFonts w:ascii="Calibri" w:hAnsi="Calibri"/>
                <w:sz w:val="22"/>
              </w:rPr>
              <w:t>FY 2026 Net Interest Expense</w:t>
            </w:r>
          </w:p>
        </w:tc>
        <w:tc>
          <w:tcPr>
            <w:tcW w:type="dxa" w:w="1728"/>
          </w:tcPr>
          <w:p>
            <w:r>
              <w:rPr>
                <w:rFonts w:ascii="Calibri" w:hAnsi="Calibri"/>
                <w:sz w:val="22"/>
              </w:rPr>
              <w:t>Increased ~$10M vs. prior; flat SOFR assumed for remainder of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Early 290 Binney delivery (AstraZeneca rent commenced Apr 1) triggered earlier cessation of capitalized interest; no Fed cuts assumed</w:t>
            </w:r>
          </w:p>
        </w:tc>
      </w:tr>
    </w:tbl>
    <w:p>
      <w:r>
        <w:rPr>
          <w:rFonts w:ascii="Calibri" w:hAnsi="Calibri"/>
          <w:b/>
          <w:color w:val="525866"/>
          <w:sz w:val="22"/>
        </w:rPr>
        <w:t xml:space="preserve">Tone Evolution: </w:t>
      </w:r>
      <w:r>
        <w:rPr>
          <w:rFonts w:ascii="Calibri" w:hAnsi="Calibri"/>
          <w:color w:val="525866"/>
          <w:sz w:val="22"/>
        </w:rPr>
        <w:t>Management's posture has shifted from cautious to explicitly confident on the occupancy recovery. AI demand is now characterized as a 'net plus' with specific metrics (80% of SF leasing from AI/tech in Q1 2026, 1.4M sq ft of positive absorption in SF in Q1). Concession environment is bifurcated — tighter in Boston Back Bay, Midtown Manhattan, and Reston/Northern Virginia (where BXP is being 'more conservative' on concessions), while West Coast markets still carry elevated packages despite accelerating demand. Leasing CapEx was flagged as materially elevated in Q1 (roughly double normal pace) due to early renewals executed in prior years; management expects additional early renewals in Q2 and Q4 to sustain elevated FAD pressure through the year.</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Q1 earnings — FFO flat, occupancy slightly revised up — suggesting the Street is in a 'wait and see' mode; the critical divergence is Same-Store NOI growth, where management guides 1.4%–2.4% for FY 2026 while consensus implies near-flat growth (~0.1%), a gap that represents either a meaningful upside catalyst if management is right or a guidance cut risk if occupancy-to-NOI conversion disappoints.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~5 Days Post Q1 Earnings (~May 5)</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 vs. Guidance</w:t>
            </w:r>
          </w:p>
        </w:tc>
      </w:tr>
      <w:tr>
        <w:tc>
          <w:tcPr>
            <w:tcW w:type="dxa" w:w="960"/>
          </w:tcPr>
          <w:p>
            <w:r>
              <w:rPr>
                <w:rFonts w:ascii="Calibri" w:hAnsi="Calibri"/>
                <w:sz w:val="22"/>
              </w:rPr>
              <w:t>FFO per Share — Diluted ($)</w:t>
            </w:r>
          </w:p>
        </w:tc>
        <w:tc>
          <w:tcPr>
            <w:tcW w:type="dxa" w:w="960"/>
          </w:tcPr>
          <w:p>
            <w:r>
              <w:rPr>
                <w:rFonts w:ascii="Calibri" w:hAnsi="Calibri"/>
                <w:sz w:val="22"/>
              </w:rPr>
              <w:t>Q2 2026</w:t>
            </w:r>
          </w:p>
        </w:tc>
        <w:tc>
          <w:tcPr>
            <w:tcW w:type="dxa" w:w="960"/>
          </w:tcPr>
          <w:p>
            <w:r>
              <w:rPr>
                <w:rFonts w:ascii="Calibri" w:hAnsi="Calibri"/>
                <w:sz w:val="22"/>
              </w:rPr>
              <w:t>$1.714</w:t>
            </w:r>
          </w:p>
        </w:tc>
        <w:tc>
          <w:tcPr>
            <w:tcW w:type="dxa" w:w="960"/>
          </w:tcPr>
          <w:p>
            <w:r>
              <w:rPr>
                <w:rFonts w:ascii="Calibri" w:hAnsi="Calibri"/>
                <w:sz w:val="22"/>
              </w:rPr>
              <w:t>$1.707</w:t>
            </w:r>
          </w:p>
        </w:tc>
        <w:tc>
          <w:tcPr>
            <w:tcW w:type="dxa" w:w="960"/>
          </w:tcPr>
          <w:p>
            <w:r>
              <w:rPr>
                <w:rFonts w:ascii="Calibri" w:hAnsi="Calibri"/>
                <w:sz w:val="22"/>
              </w:rPr>
              <w:t>-0.4%</w:t>
            </w:r>
          </w:p>
        </w:tc>
        <w:tc>
          <w:tcPr>
            <w:tcW w:type="dxa" w:w="960"/>
          </w:tcPr>
          <w:p>
            <w:r>
              <w:rPr>
                <w:rFonts w:ascii="Calibri" w:hAnsi="Calibri"/>
                <w:sz w:val="22"/>
              </w:rPr>
              <w:t>$1.725–$1.775 (mid $1.75)</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b/>
                <w:color w:val="E5484D"/>
                <w:sz w:val="22"/>
              </w:rPr>
              <w:t>-2.5% below mid</w:t>
            </w:r>
          </w:p>
        </w:tc>
      </w:tr>
      <w:tr>
        <w:tc>
          <w:tcPr>
            <w:tcW w:type="dxa" w:w="960"/>
          </w:tcPr>
          <w:p>
            <w:r>
              <w:rPr>
                <w:rFonts w:ascii="Calibri" w:hAnsi="Calibri"/>
                <w:sz w:val="22"/>
              </w:rPr>
              <w:t>FFO per Share — Diluted ($)</w:t>
            </w:r>
          </w:p>
        </w:tc>
        <w:tc>
          <w:tcPr>
            <w:tcW w:type="dxa" w:w="960"/>
          </w:tcPr>
          <w:p>
            <w:r>
              <w:rPr>
                <w:rFonts w:ascii="Calibri" w:hAnsi="Calibri"/>
                <w:sz w:val="22"/>
              </w:rPr>
              <w:t>FY 2026</w:t>
            </w:r>
          </w:p>
        </w:tc>
        <w:tc>
          <w:tcPr>
            <w:tcW w:type="dxa" w:w="960"/>
          </w:tcPr>
          <w:p>
            <w:r>
              <w:rPr>
                <w:rFonts w:ascii="Calibri" w:hAnsi="Calibri"/>
                <w:sz w:val="22"/>
              </w:rPr>
              <w:t>$6.966</w:t>
            </w:r>
          </w:p>
        </w:tc>
        <w:tc>
          <w:tcPr>
            <w:tcW w:type="dxa" w:w="960"/>
          </w:tcPr>
          <w:p>
            <w:r>
              <w:rPr>
                <w:rFonts w:ascii="Calibri" w:hAnsi="Calibri"/>
                <w:sz w:val="22"/>
              </w:rPr>
              <w:t>$6.966</w:t>
            </w:r>
          </w:p>
        </w:tc>
        <w:tc>
          <w:tcPr>
            <w:tcW w:type="dxa" w:w="960"/>
          </w:tcPr>
          <w:p>
            <w:r>
              <w:rPr>
                <w:rFonts w:ascii="Calibri" w:hAnsi="Calibri"/>
                <w:sz w:val="22"/>
              </w:rPr>
              <w:t>0.0%</w:t>
            </w:r>
          </w:p>
        </w:tc>
        <w:tc>
          <w:tcPr>
            <w:tcW w:type="dxa" w:w="960"/>
          </w:tcPr>
          <w:p>
            <w:r>
              <w:rPr>
                <w:rFonts w:ascii="Calibri" w:hAnsi="Calibri"/>
                <w:sz w:val="22"/>
              </w:rPr>
              <w:t>$6.90–$7.04 (mid $6.97)</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midpoint</w:t>
            </w:r>
          </w:p>
        </w:tc>
      </w:tr>
      <w:tr>
        <w:tc>
          <w:tcPr>
            <w:tcW w:type="dxa" w:w="960"/>
          </w:tcPr>
          <w:p>
            <w:r>
              <w:rPr>
                <w:rFonts w:ascii="Calibri" w:hAnsi="Calibri"/>
                <w:sz w:val="22"/>
              </w:rPr>
              <w:t>Occupancy Rate (%)</w:t>
            </w:r>
          </w:p>
        </w:tc>
        <w:tc>
          <w:tcPr>
            <w:tcW w:type="dxa" w:w="960"/>
          </w:tcPr>
          <w:p>
            <w:r>
              <w:rPr>
                <w:rFonts w:ascii="Calibri" w:hAnsi="Calibri"/>
                <w:sz w:val="22"/>
              </w:rPr>
              <w:t>Q2 2026</w:t>
            </w:r>
          </w:p>
        </w:tc>
        <w:tc>
          <w:tcPr>
            <w:tcW w:type="dxa" w:w="960"/>
          </w:tcPr>
          <w:p>
            <w:r>
              <w:rPr>
                <w:rFonts w:ascii="Calibri" w:hAnsi="Calibri"/>
                <w:sz w:val="22"/>
              </w:rPr>
              <w:t>87.80%</w:t>
            </w:r>
          </w:p>
        </w:tc>
        <w:tc>
          <w:tcPr>
            <w:tcW w:type="dxa" w:w="960"/>
          </w:tcPr>
          <w:p>
            <w:r>
              <w:rPr>
                <w:rFonts w:ascii="Calibri" w:hAnsi="Calibri"/>
                <w:sz w:val="22"/>
              </w:rPr>
              <w:t>87.93%</w:t>
            </w:r>
          </w:p>
        </w:tc>
        <w:tc>
          <w:tcPr>
            <w:tcW w:type="dxa" w:w="960"/>
          </w:tcPr>
          <w:p>
            <w:r>
              <w:rPr>
                <w:rFonts w:ascii="Calibri" w:hAnsi="Calibri"/>
                <w:b/>
                <w:color w:val="30A46C"/>
                <w:sz w:val="22"/>
              </w:rPr>
              <w:t>+13 bps</w:t>
            </w:r>
          </w:p>
        </w:tc>
        <w:tc>
          <w:tcPr>
            <w:tcW w:type="dxa" w:w="960"/>
          </w:tcPr>
          <w:p>
            <w:r>
              <w:rPr>
                <w:rFonts w:ascii="Calibri" w:hAnsi="Calibri"/>
                <w:sz w:val="22"/>
              </w:rPr>
              <w:t>~88.25% avg for year</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~32 bps below avg</w:t>
            </w:r>
          </w:p>
        </w:tc>
      </w:tr>
      <w:tr>
        <w:tc>
          <w:tcPr>
            <w:tcW w:type="dxa" w:w="960"/>
          </w:tcPr>
          <w:p>
            <w:r>
              <w:rPr>
                <w:rFonts w:ascii="Calibri" w:hAnsi="Calibri"/>
                <w:sz w:val="22"/>
              </w:rPr>
              <w:t>Occupancy Rate (%)</w:t>
            </w:r>
          </w:p>
        </w:tc>
        <w:tc>
          <w:tcPr>
            <w:tcW w:type="dxa" w:w="960"/>
          </w:tcPr>
          <w:p>
            <w:r>
              <w:rPr>
                <w:rFonts w:ascii="Calibri" w:hAnsi="Calibri"/>
                <w:sz w:val="22"/>
              </w:rPr>
              <w:t>FY 2026</w:t>
            </w:r>
          </w:p>
        </w:tc>
        <w:tc>
          <w:tcPr>
            <w:tcW w:type="dxa" w:w="960"/>
          </w:tcPr>
          <w:p>
            <w:r>
              <w:rPr>
                <w:rFonts w:ascii="Calibri" w:hAnsi="Calibri"/>
                <w:sz w:val="22"/>
              </w:rPr>
              <w:t>88.23%</w:t>
            </w:r>
          </w:p>
        </w:tc>
        <w:tc>
          <w:tcPr>
            <w:tcW w:type="dxa" w:w="960"/>
          </w:tcPr>
          <w:p>
            <w:r>
              <w:rPr>
                <w:rFonts w:ascii="Calibri" w:hAnsi="Calibri"/>
                <w:sz w:val="22"/>
              </w:rPr>
              <w:t>88.59%</w:t>
            </w:r>
          </w:p>
        </w:tc>
        <w:tc>
          <w:tcPr>
            <w:tcW w:type="dxa" w:w="960"/>
          </w:tcPr>
          <w:p>
            <w:r>
              <w:rPr>
                <w:rFonts w:ascii="Calibri" w:hAnsi="Calibri"/>
                <w:b/>
                <w:color w:val="30A46C"/>
                <w:sz w:val="22"/>
              </w:rPr>
              <w:t>+36 bps</w:t>
            </w:r>
          </w:p>
        </w:tc>
        <w:tc>
          <w:tcPr>
            <w:tcW w:type="dxa" w:w="960"/>
          </w:tcPr>
          <w:p>
            <w:r>
              <w:rPr>
                <w:rFonts w:ascii="Calibri" w:hAnsi="Calibri"/>
                <w:sz w:val="22"/>
              </w:rPr>
              <w:t>~88.25% avg for year</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b/>
                <w:color w:val="30A46C"/>
                <w:sz w:val="22"/>
              </w:rPr>
              <w:t>+34 bps above avg</w:t>
            </w:r>
          </w:p>
        </w:tc>
      </w:tr>
      <w:tr>
        <w:tc>
          <w:tcPr>
            <w:tcW w:type="dxa" w:w="960"/>
          </w:tcPr>
          <w:p>
            <w:r>
              <w:rPr>
                <w:rFonts w:ascii="Calibri" w:hAnsi="Calibri"/>
                <w:sz w:val="22"/>
              </w:rPr>
              <w:t>Same-Store NOI — Office ($M)</w:t>
            </w:r>
          </w:p>
        </w:tc>
        <w:tc>
          <w:tcPr>
            <w:tcW w:type="dxa" w:w="960"/>
          </w:tcPr>
          <w:p>
            <w:r>
              <w:rPr>
                <w:rFonts w:ascii="Calibri" w:hAnsi="Calibri"/>
                <w:sz w:val="22"/>
              </w:rPr>
              <w:t>Q2 2026</w:t>
            </w:r>
          </w:p>
        </w:tc>
        <w:tc>
          <w:tcPr>
            <w:tcW w:type="dxa" w:w="960"/>
          </w:tcPr>
          <w:p>
            <w:r>
              <w:rPr>
                <w:rFonts w:ascii="Calibri" w:hAnsi="Calibri"/>
                <w:sz w:val="22"/>
              </w:rPr>
              <w:t>$477.0M</w:t>
            </w:r>
          </w:p>
        </w:tc>
        <w:tc>
          <w:tcPr>
            <w:tcW w:type="dxa" w:w="960"/>
          </w:tcPr>
          <w:p>
            <w:r>
              <w:rPr>
                <w:rFonts w:ascii="Calibri" w:hAnsi="Calibri"/>
                <w:sz w:val="22"/>
              </w:rPr>
              <w:t>$473.9M</w:t>
            </w:r>
          </w:p>
        </w:tc>
        <w:tc>
          <w:tcPr>
            <w:tcW w:type="dxa" w:w="960"/>
          </w:tcPr>
          <w:p>
            <w:r>
              <w:rPr>
                <w:rFonts w:ascii="Calibri" w:hAnsi="Calibri"/>
                <w:sz w:val="22"/>
              </w:rPr>
              <w:t>-0.6%</w:t>
            </w:r>
          </w:p>
        </w:tc>
        <w:tc>
          <w:tcPr>
            <w:tcW w:type="dxa" w:w="960"/>
          </w:tcPr>
          <w:p>
            <w:r>
              <w:rPr>
                <w:rFonts w:ascii="Calibri" w:hAnsi="Calibri"/>
                <w:sz w:val="22"/>
              </w:rPr>
              <w:t>1.4%–2.4% FY growth</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N/A (FY metric)</w:t>
            </w:r>
          </w:p>
        </w:tc>
      </w:tr>
      <w:tr>
        <w:tc>
          <w:tcPr>
            <w:tcW w:type="dxa" w:w="960"/>
          </w:tcPr>
          <w:p>
            <w:r>
              <w:rPr>
                <w:rFonts w:ascii="Calibri" w:hAnsi="Calibri"/>
                <w:sz w:val="22"/>
              </w:rPr>
              <w:t>Same-Store NOI — Office ($M)</w:t>
            </w:r>
          </w:p>
        </w:tc>
        <w:tc>
          <w:tcPr>
            <w:tcW w:type="dxa" w:w="960"/>
          </w:tcPr>
          <w:p>
            <w:r>
              <w:rPr>
                <w:rFonts w:ascii="Calibri" w:hAnsi="Calibri"/>
                <w:sz w:val="22"/>
              </w:rPr>
              <w:t>FY 2026</w:t>
            </w:r>
          </w:p>
        </w:tc>
        <w:tc>
          <w:tcPr>
            <w:tcW w:type="dxa" w:w="960"/>
          </w:tcPr>
          <w:p>
            <w:r>
              <w:rPr>
                <w:rFonts w:ascii="Calibri" w:hAnsi="Calibri"/>
                <w:sz w:val="22"/>
              </w:rPr>
              <w:t>$1,896.6M</w:t>
            </w:r>
          </w:p>
        </w:tc>
        <w:tc>
          <w:tcPr>
            <w:tcW w:type="dxa" w:w="960"/>
          </w:tcPr>
          <w:p>
            <w:r>
              <w:rPr>
                <w:rFonts w:ascii="Calibri" w:hAnsi="Calibri"/>
                <w:sz w:val="22"/>
              </w:rPr>
              <w:t>$1,892.5M</w:t>
            </w:r>
          </w:p>
        </w:tc>
        <w:tc>
          <w:tcPr>
            <w:tcW w:type="dxa" w:w="960"/>
          </w:tcPr>
          <w:p>
            <w:r>
              <w:rPr>
                <w:rFonts w:ascii="Calibri" w:hAnsi="Calibri"/>
                <w:sz w:val="22"/>
              </w:rPr>
              <w:t>-0.2%</w:t>
            </w:r>
          </w:p>
        </w:tc>
        <w:tc>
          <w:tcPr>
            <w:tcW w:type="dxa" w:w="960"/>
          </w:tcPr>
          <w:p>
            <w:r>
              <w:rPr>
                <w:rFonts w:ascii="Calibri" w:hAnsi="Calibri"/>
                <w:sz w:val="22"/>
              </w:rPr>
              <w:t>1.4%–2.4% FY growth</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b/>
                <w:color w:val="E5484D"/>
                <w:sz w:val="22"/>
              </w:rPr>
              <w:t>Well below guidance mid (~1.9%)</w:t>
            </w:r>
          </w:p>
        </w:tc>
      </w:tr>
    </w:tbl>
    <w:p>
      <w:r>
        <w:rPr>
          <w:rFonts w:ascii="Calibri" w:hAnsi="Calibri"/>
          <w:b/>
          <w:color w:val="525866"/>
          <w:sz w:val="22"/>
        </w:rPr>
        <w:t xml:space="preserve">The key debate heading into Q2: </w:t>
      </w:r>
      <w:r>
        <w:rPr>
          <w:rFonts w:ascii="Calibri" w:hAnsi="Calibri"/>
          <w:color w:val="525866"/>
          <w:sz w:val="22"/>
        </w:rPr>
        <w:t>Management guides FY 2026 Same-Store NOI growth of 1.4%–2.4%, while consensus implies near-flat growth (~0.1%). This ~180 bps gap reflects Street skepticism about the speed of occupancy-to-NOI conversion — specifically, whether the 3.5% leased-vs-occupied spread (1.6M sq ft of signed-but-not-commenced leases) will translate into cash NOI on the timeline management expects. A Q2 print that shows Same-Store NOI inflecting positive would be a meaningful positive catalyst; continued negative same-store growth would validate Street caution.</w:t>
      </w:r>
    </w:p>
    <w:p>
      <w:r>
        <w:rPr>
          <w:rFonts w:ascii="Calibri" w:hAnsi="Calibri"/>
          <w:i/>
          <w:color w:val="525866"/>
          <w:sz w:val="22"/>
        </w:rPr>
        <w:t>Source: Visible Alpha Consensus and Actuals Data. Baseline estimate as of approximately May 5, 2026 (5 trading days post Q1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BXP has dramatically outperformed since Q1 earnings (+17.0% vs. IYR +4.8%, S&amp;P 500 +3.8%), driven by multiple expansion on improving fundamental narrative — AI leasing demand, occupancy recovery credibility, and 343 Madison financing progress; the strong run means the stock has priced in a meaningful portion of the recovery, raising the bar for Q2 to sustain momentum.</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BXP vs. IYR (iShares U.S. Real Estate ETF) vs. S&amp;P 500 (SPY) — Indexed to 100 at Q1 2026 Earnings Date (April 28, 2026). Source: Stock Price Data.</w:t>
      </w:r>
    </w:p>
    <w:p>
      <w:r>
        <w:rPr>
          <w:rFonts w:ascii="Calibri" w:hAnsi="Calibri"/>
          <w:b/>
          <w:color w:val="525866"/>
          <w:sz w:val="22"/>
        </w:rPr>
        <w:t xml:space="preserve">Sector ETF: </w:t>
      </w:r>
      <w:r>
        <w:rPr>
          <w:rFonts w:ascii="Calibri" w:hAnsi="Calibri"/>
          <w:color w:val="525866"/>
          <w:sz w:val="22"/>
        </w:rPr>
        <w:t>IYR (iShares U.S. Real Estate ETF) was used as the sector benchmark. IYR is a broad U.S. REIT ETF with significant office REIT exposure, appropriate for BXP's office REIT sub-sector.</w:t>
      </w:r>
    </w:p>
    <w:p>
      <w:r>
        <w:rPr>
          <w:rFonts w:ascii="Calibri" w:hAnsi="Calibri"/>
          <w:b/>
          <w:color w:val="525866"/>
          <w:sz w:val="22"/>
        </w:rPr>
        <w:t>Performance Summary (April 28 – July 28, 2026):</w:t>
      </w:r>
    </w:p>
    <w:p>
      <w:pPr>
        <w:pStyle w:val="ListBullet"/>
        <w:ind w:left="360" w:hanging="360"/>
      </w:pPr>
      <w:r>
        <w:rPr>
          <w:rFonts w:ascii="Calibri" w:hAnsi="Calibri"/>
          <w:b/>
          <w:color w:val="525866"/>
          <w:sz w:val="22"/>
        </w:rPr>
        <w:t xml:space="preserve">BXP: </w:t>
      </w:r>
      <w:r>
        <w:rPr>
          <w:rFonts w:ascii="Calibri" w:hAnsi="Calibri"/>
          <w:color w:val="525866"/>
          <w:sz w:val="22"/>
        </w:rPr>
        <w:t>+17.0% ($59.16 → $69.21) — significant outperformance driven by improving fundamental narrative</w:t>
      </w:r>
    </w:p>
    <w:p>
      <w:pPr>
        <w:pStyle w:val="ListBullet"/>
        <w:ind w:left="360" w:hanging="360"/>
      </w:pPr>
      <w:r>
        <w:rPr>
          <w:rFonts w:ascii="Calibri" w:hAnsi="Calibri"/>
          <w:b/>
          <w:color w:val="525866"/>
          <w:sz w:val="22"/>
        </w:rPr>
        <w:t xml:space="preserve">IYR (Real Estate ETF): </w:t>
      </w:r>
      <w:r>
        <w:rPr>
          <w:rFonts w:ascii="Calibri" w:hAnsi="Calibri"/>
          <w:color w:val="525866"/>
          <w:sz w:val="22"/>
        </w:rPr>
        <w:t>+4.8% ($101.74 → $106.64) — sector broadly positive but lagging BXP substantially</w:t>
      </w:r>
    </w:p>
    <w:p>
      <w:pPr>
        <w:pStyle w:val="ListBullet"/>
        <w:ind w:left="360" w:hanging="360"/>
      </w:pPr>
      <w:r>
        <w:rPr>
          <w:rFonts w:ascii="Calibri" w:hAnsi="Calibri"/>
          <w:b/>
          <w:color w:val="525866"/>
          <w:sz w:val="22"/>
        </w:rPr>
        <w:t xml:space="preserve">S&amp;P 500 (SPY): </w:t>
      </w:r>
      <w:r>
        <w:rPr>
          <w:rFonts w:ascii="Calibri" w:hAnsi="Calibri"/>
          <w:color w:val="525866"/>
          <w:sz w:val="22"/>
        </w:rPr>
        <w:t>+3.8% ($711.69 → $739.09) — market positive but BXP outperformed by ~1,320 bps</w:t>
      </w:r>
    </w:p>
    <w:p>
      <w:r>
        <w:rPr>
          <w:rFonts w:ascii="Calibri" w:hAnsi="Calibri"/>
          <w:b/>
          <w:color w:val="525866"/>
          <w:sz w:val="22"/>
        </w:rPr>
        <w:t xml:space="preserve">Performance Drivers: </w:t>
      </w:r>
      <w:r>
        <w:rPr>
          <w:rFonts w:ascii="Calibri" w:hAnsi="Calibri"/>
          <w:color w:val="525866"/>
          <w:sz w:val="22"/>
        </w:rPr>
        <w:t xml:space="preserve">BXP's outperformance has been driven by a combination of (1) </w:t>
      </w:r>
      <w:r>
        <w:rPr>
          <w:rFonts w:ascii="Calibri" w:hAnsi="Calibri"/>
          <w:b/>
          <w:color w:val="525866"/>
          <w:sz w:val="22"/>
        </w:rPr>
        <w:t>multiple expansion</w:t>
      </w:r>
      <w:r>
        <w:rPr>
          <w:rFonts w:ascii="Calibri" w:hAnsi="Calibri"/>
          <w:color w:val="525866"/>
          <w:sz w:val="22"/>
        </w:rPr>
        <w:t xml:space="preserve"> as the occupancy recovery narrative gained credibility following the Q1 beat, (2) </w:t>
      </w:r>
      <w:r>
        <w:rPr>
          <w:rFonts w:ascii="Calibri" w:hAnsi="Calibri"/>
          <w:b/>
          <w:color w:val="525866"/>
          <w:sz w:val="22"/>
        </w:rPr>
        <w:t>AI leasing demand</w:t>
      </w:r>
      <w:r>
        <w:rPr>
          <w:rFonts w:ascii="Calibri" w:hAnsi="Calibri"/>
          <w:color w:val="525866"/>
          <w:sz w:val="22"/>
        </w:rPr>
        <w:t xml:space="preserve"> in San Francisco and NYC providing a growth catalyst not previously priced in, (3) </w:t>
      </w:r>
      <w:r>
        <w:rPr>
          <w:rFonts w:ascii="Calibri" w:hAnsi="Calibri"/>
          <w:b/>
          <w:color w:val="525866"/>
          <w:sz w:val="22"/>
        </w:rPr>
        <w:t>343 Madison Avenue financing progress</w:t>
      </w:r>
      <w:r>
        <w:rPr>
          <w:rFonts w:ascii="Calibri" w:hAnsi="Calibri"/>
          <w:color w:val="525866"/>
          <w:sz w:val="22"/>
        </w:rPr>
        <w:t xml:space="preserve"> (56% pre-leased, construction loan term sheet agreed) derisking the largest development project, and (4) </w:t>
      </w:r>
      <w:r>
        <w:rPr>
          <w:rFonts w:ascii="Calibri" w:hAnsi="Calibri"/>
          <w:b/>
          <w:color w:val="525866"/>
          <w:sz w:val="22"/>
        </w:rPr>
        <w:t>asset sale program execution</w:t>
      </w:r>
      <w:r>
        <w:rPr>
          <w:rFonts w:ascii="Calibri" w:hAnsi="Calibri"/>
          <w:color w:val="525866"/>
          <w:sz w:val="22"/>
        </w:rPr>
        <w:t xml:space="preserve"> (~$1.2B closed toward $1.9B target) reducing leverage concerns. The stock's strong run (+17% in ~3 months) means some of the beat is likely priced in; the market will be focused on whether Q2 leasing CapEx remains elevated (FAD headwind) and any update on the 343 Madison equity raise. A notable acceleration occurred in early June (stock moved from ~$60 to ~$66 in the June 4–12 window), coinciding with broader REIT sector strength and likely reflecting growing conviction in the occupancy recovery.</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Peer commentary from the last 60 days is broadly positive for BXP — SLG's Q2 2026 beat and massive guidance raise confirms the NYC landlord's market BXP has been describing, KRC's positive re-leasing spreads support the West Coast recovery narrative, and VNO and CUZ both confirm broad-based demand acceleration; the only cautionary note is ARE's life science commentary, which is consistent with BXP's own 'bottoming' characterization.</w:t>
      </w:r>
    </w:p>
    <w:p>
      <w:r>
        <w:rPr>
          <w:rFonts w:ascii="Calibri" w:hAnsi="Calibri"/>
          <w:b/>
          <w:color w:val="525866"/>
          <w:sz w:val="22"/>
        </w:rPr>
        <w:t xml:space="preserve">Note: </w:t>
      </w:r>
      <w:r>
        <w:rPr>
          <w:rFonts w:ascii="Calibri" w:hAnsi="Calibri"/>
          <w:color w:val="525866"/>
          <w:sz w:val="22"/>
        </w:rPr>
        <w:t>This section covers only peer commentary from the last 60 days (approximately May 28 – July 28, 2026) that is relevant to BXP's Q2 2026 reporting period. Commentary from Q1 2026 earnings calls (April 28–May 5) is included where it contains explicit forward-looking guidance for Q2 2026 or the remainder of 2026. Commentary that was purely about prior-quarter results without forward-looking relevance is excluded.</w:t>
      </w:r>
    </w:p>
    <w:p>
      <w:pPr>
        <w:pStyle w:val="Heading3"/>
      </w:pPr>
      <w:r>
        <w:rPr>
          <w:rFonts w:ascii="Calibri" w:hAnsi="Calibri"/>
          <w:b/>
          <w:color w:val="3B4259"/>
          <w:sz w:val="24"/>
        </w:rPr>
        <w:t>A. SL Green Realty (SLG) — Q2 2026 Earnings Call (July 23, 2026)</w:t>
      </w:r>
    </w:p>
    <w:p>
      <w:r>
        <w:rPr>
          <w:rFonts w:ascii="Calibri" w:hAnsi="Calibri"/>
          <w:b/>
          <w:color w:val="525866"/>
          <w:sz w:val="22"/>
        </w:rPr>
        <w:t>Relevance: HIGHEST — SLG reported Q2 2026 results just 5 days before BXP's print, providing the most current read on NYC office market conditions.</w:t>
      </w:r>
    </w:p>
    <w:p>
      <w:pPr>
        <w:pStyle w:val="ListBullet"/>
        <w:ind w:left="360" w:hanging="360"/>
      </w:pPr>
      <w:r>
        <w:rPr>
          <w:rFonts w:ascii="Calibri" w:hAnsi="Calibri"/>
          <w:b/>
          <w:color w:val="525866"/>
          <w:sz w:val="22"/>
        </w:rPr>
        <w:t xml:space="preserve">NYC Office Demand Surge: </w:t>
      </w:r>
      <w:r>
        <w:rPr>
          <w:rFonts w:ascii="Calibri" w:hAnsi="Calibri"/>
          <w:color w:val="525866"/>
          <w:sz w:val="22"/>
        </w:rPr>
        <w:t>CEO Marc Holliday described the NYC office market as experiencing an 'extraordinary and prolonged surge in business activity.' Financial services sector performing as well as Holliday has 'ever seen it' — Wall Street profits hit $21B in Q1 2026 alone (second highest Q1 on record in 40+ years of tracking). Big five money center banks reported Q2 2026 profits up 50% YoY.</w:t>
      </w:r>
    </w:p>
    <w:p>
      <w:pPr>
        <w:pStyle w:val="ListBullet"/>
        <w:ind w:left="360" w:hanging="360"/>
      </w:pPr>
      <w:r>
        <w:rPr>
          <w:rFonts w:ascii="Calibri" w:hAnsi="Calibri"/>
          <w:b/>
          <w:color w:val="525866"/>
          <w:sz w:val="22"/>
        </w:rPr>
        <w:t xml:space="preserve">Job Growth &amp; VC Funding: </w:t>
      </w:r>
      <w:r>
        <w:rPr>
          <w:rFonts w:ascii="Calibri" w:hAnsi="Calibri"/>
          <w:color w:val="525866"/>
          <w:sz w:val="22"/>
        </w:rPr>
        <w:t>NYC office-using jobs up 12,000 YTD. NYC VC funding hit $10.8B in Q2 alone ($21.1B YTD) — double the same periods in 2025. Healthcare sector added 20,000 jobs YTD.</w:t>
      </w:r>
    </w:p>
    <w:p>
      <w:pPr>
        <w:pStyle w:val="ListBullet"/>
        <w:ind w:left="360" w:hanging="360"/>
      </w:pPr>
      <w:r>
        <w:rPr>
          <w:rFonts w:ascii="Calibri" w:hAnsi="Calibri"/>
          <w:b/>
          <w:color w:val="525866"/>
          <w:sz w:val="22"/>
        </w:rPr>
        <w:t xml:space="preserve">Tech &amp; AI Demand: </w:t>
      </w:r>
      <w:r>
        <w:rPr>
          <w:rFonts w:ascii="Calibri" w:hAnsi="Calibri"/>
          <w:color w:val="525866"/>
          <w:sz w:val="22"/>
        </w:rPr>
        <w:t>9.5M sq ft of active tech searches in Manhattan, of which 2.5M sq ft are AI tenants. SLG's Midtown South buildings are '100% leased.' SLG announced a 100,000 sq ft AI tenant lease at 11 Madison. Technology industry described as 'back in a big way.'</w:t>
      </w:r>
    </w:p>
    <w:p>
      <w:pPr>
        <w:pStyle w:val="ListBullet"/>
        <w:ind w:left="360" w:hanging="360"/>
      </w:pPr>
      <w:r>
        <w:rPr>
          <w:rFonts w:ascii="Calibri" w:hAnsi="Calibri"/>
          <w:b/>
          <w:color w:val="525866"/>
          <w:sz w:val="22"/>
        </w:rPr>
        <w:t xml:space="preserve">Leasing Pipeline: </w:t>
      </w:r>
      <w:r>
        <w:rPr>
          <w:rFonts w:ascii="Calibri" w:hAnsi="Calibri"/>
          <w:color w:val="525866"/>
          <w:sz w:val="22"/>
        </w:rPr>
        <w:t>900,000 sq ft pipeline, 50% new/50% renewal; 400,000 sq ft in active negotiation. SLG expects to 'exceed leasing goals again this year' — 'just a question of whether it will be by a wide margin or a really wide margin.'</w:t>
      </w:r>
    </w:p>
    <w:p>
      <w:pPr>
        <w:pStyle w:val="ListBullet"/>
        <w:ind w:left="360" w:hanging="360"/>
      </w:pPr>
      <w:r>
        <w:rPr>
          <w:rFonts w:ascii="Calibri" w:hAnsi="Calibri"/>
          <w:b/>
          <w:color w:val="525866"/>
          <w:sz w:val="22"/>
        </w:rPr>
        <w:t xml:space="preserve">Rent Trends: </w:t>
      </w:r>
      <w:r>
        <w:rPr>
          <w:rFonts w:ascii="Calibri" w:hAnsi="Calibri"/>
          <w:color w:val="525866"/>
          <w:sz w:val="22"/>
        </w:rPr>
        <w:t>Face rents 'dramatically increased' on Park Avenue and Sixth Avenue. Mark-to-market on Covid-era leases estimated at ~15% on average. Free rent on typical 5-year renewals now 3–4 months (compressing from prior levels). Net effective rents rising alongside face rents as concessions stabilize.</w:t>
      </w:r>
    </w:p>
    <w:p>
      <w:pPr>
        <w:pStyle w:val="ListBullet"/>
        <w:ind w:left="360" w:hanging="360"/>
      </w:pPr>
      <w:r>
        <w:rPr>
          <w:rFonts w:ascii="Calibri" w:hAnsi="Calibri"/>
          <w:b/>
          <w:color w:val="525866"/>
          <w:sz w:val="22"/>
        </w:rPr>
        <w:t xml:space="preserve">Supply Dynamics: </w:t>
      </w:r>
      <w:r>
        <w:rPr>
          <w:rFonts w:ascii="Calibri" w:hAnsi="Calibri"/>
          <w:color w:val="525866"/>
          <w:sz w:val="22"/>
        </w:rPr>
        <w:t>'Almost no addition to space to speak of in a 400M sq ft market' over next 5 years. Office-to-residential conversions reducing secondary/tertiary inventory, 'bringing up the middle and bottom of the market.'</w:t>
      </w:r>
    </w:p>
    <w:p>
      <w:pPr>
        <w:pStyle w:val="ListBullet"/>
        <w:ind w:left="360" w:hanging="360"/>
      </w:pPr>
      <w:r>
        <w:rPr>
          <w:rFonts w:ascii="Calibri" w:hAnsi="Calibri"/>
          <w:b/>
          <w:color w:val="525866"/>
          <w:sz w:val="22"/>
        </w:rPr>
        <w:t xml:space="preserve">Capital Markets: </w:t>
      </w:r>
      <w:r>
        <w:rPr>
          <w:rFonts w:ascii="Calibri" w:hAnsi="Calibri"/>
          <w:color w:val="525866"/>
          <w:sz w:val="22"/>
        </w:rPr>
        <w:t>Manhattan investment sales jumped 50% annually in H1 2026 (strongest H1 since 2022). CMBS originations ~$11B YTD vs $8.5B prior year. Trophy office spreads trading 'inside of what we're seeing for spreads on industrial, multifamily and self-storage.'</w:t>
      </w:r>
    </w:p>
    <w:p>
      <w:pPr>
        <w:pStyle w:val="ListBullet"/>
        <w:ind w:left="360" w:hanging="360"/>
      </w:pPr>
      <w:r>
        <w:rPr>
          <w:rFonts w:ascii="Calibri" w:hAnsi="Calibri"/>
          <w:b/>
          <w:color w:val="525866"/>
          <w:sz w:val="22"/>
        </w:rPr>
        <w:t xml:space="preserve">Guidance Raise: </w:t>
      </w:r>
      <w:r>
        <w:rPr>
          <w:rFonts w:ascii="Calibri" w:hAnsi="Calibri"/>
          <w:color w:val="525866"/>
          <w:sz w:val="22"/>
        </w:rPr>
        <w:t>SLG raised full-year 2026 FFO guidance by $1.20/share (+26%), driven by real estate portfolio outperformance ($0.20/share), fee income ($0.20/share), and One Vanderbilt accounting change ($0.80/share recurring).</w:t>
      </w:r>
    </w:p>
    <w:p>
      <w:pPr>
        <w:pStyle w:val="ListBullet"/>
        <w:ind w:left="360" w:hanging="360"/>
      </w:pPr>
      <w:r>
        <w:rPr>
          <w:rFonts w:ascii="Calibri" w:hAnsi="Calibri"/>
          <w:b/>
          <w:color w:val="525866"/>
          <w:sz w:val="22"/>
        </w:rPr>
        <w:t xml:space="preserve">BXP Read-Through: </w:t>
      </w:r>
      <w:r>
        <w:rPr>
          <w:rFonts w:ascii="Calibri" w:hAnsi="Calibri"/>
          <w:b/>
          <w:color w:val="30A46C"/>
          <w:sz w:val="22"/>
        </w:rPr>
        <w:t>Strongly positive for BXP's NYC portfolio (Midtown Manhattan, 360 Park Ave South, Times Square Tower, 200 Fifth Ave, 343 Madison). SLG's data confirms the NYC landlord's market BXP has been describing. BXP's 800K+ sq ft of Q2 leasing and 343 Madison pre-leasing progress (56%) are consistent with SLG's demand picture. The capital markets commentary (trophy office spreads inside multifamily) is directly supportive of BXP's 343 Madison construction loan closing and equity raise.</w:t>
      </w:r>
    </w:p>
    <w:p>
      <w:pPr>
        <w:pStyle w:val="Heading3"/>
      </w:pPr>
      <w:r>
        <w:rPr>
          <w:rFonts w:ascii="Calibri" w:hAnsi="Calibri"/>
          <w:b/>
          <w:color w:val="3B4259"/>
          <w:sz w:val="24"/>
        </w:rPr>
        <w:t>B. Kilroy Realty (KRC) — Q2 2026 Results (July 27, 2026)</w:t>
      </w:r>
    </w:p>
    <w:p>
      <w:r>
        <w:rPr>
          <w:rFonts w:ascii="Calibri" w:hAnsi="Calibri"/>
          <w:b/>
          <w:color w:val="525866"/>
          <w:sz w:val="22"/>
        </w:rPr>
        <w:t>Relevance: HIGH — KRC reported Q2 2026 results one day before BXP's print; primary read-through for West Coast office markets (San Francisco, Los Angeles, Seattle).</w:t>
      </w:r>
    </w:p>
    <w:p>
      <w:pPr>
        <w:pStyle w:val="ListBullet"/>
        <w:ind w:left="360" w:hanging="360"/>
      </w:pPr>
      <w:r>
        <w:rPr>
          <w:rFonts w:ascii="Calibri" w:hAnsi="Calibri"/>
          <w:b/>
          <w:color w:val="525866"/>
          <w:sz w:val="22"/>
        </w:rPr>
        <w:t xml:space="preserve">West Coast Fundamentals Improving: </w:t>
      </w:r>
      <w:r>
        <w:rPr>
          <w:rFonts w:ascii="Calibri" w:hAnsi="Calibri"/>
          <w:color w:val="525866"/>
          <w:sz w:val="22"/>
        </w:rPr>
        <w:t>CEO Angela Aman: 'Our second quarter results highlight continuing improvement in commercial real estate fundamentals across our West Coast markets, as we work to capitalize on growing market demand against a backdrop of moderating high-quality supply.'</w:t>
      </w:r>
    </w:p>
    <w:p>
      <w:pPr>
        <w:pStyle w:val="ListBullet"/>
        <w:ind w:left="360" w:hanging="360"/>
      </w:pPr>
      <w:r>
        <w:rPr>
          <w:rFonts w:ascii="Calibri" w:hAnsi="Calibri"/>
          <w:b/>
          <w:color w:val="525866"/>
          <w:sz w:val="22"/>
        </w:rPr>
        <w:t xml:space="preserve">Re-Leasing Spreads Strongly Positive: </w:t>
      </w:r>
      <w:r>
        <w:rPr>
          <w:rFonts w:ascii="Calibri" w:hAnsi="Calibri"/>
          <w:color w:val="525866"/>
          <w:sz w:val="22"/>
        </w:rPr>
        <w:t>GAAP re-leasing spreads +27%, cash +16% on comparable second-generation space (excluding space vacant &gt;1 year) — indicating rent recovery even as occupancy lags. For all leases signed, GAAP rents +21.0%, cash rents +6.1%.</w:t>
      </w:r>
    </w:p>
    <w:p>
      <w:pPr>
        <w:pStyle w:val="ListBullet"/>
        <w:ind w:left="360" w:hanging="360"/>
      </w:pPr>
      <w:r>
        <w:rPr>
          <w:rFonts w:ascii="Calibri" w:hAnsi="Calibri"/>
          <w:b/>
          <w:color w:val="525866"/>
          <w:sz w:val="22"/>
        </w:rPr>
        <w:t xml:space="preserve">Occupancy Still Under Pressure: </w:t>
      </w:r>
      <w:r>
        <w:rPr>
          <w:rFonts w:ascii="Calibri" w:hAnsi="Calibri"/>
          <w:color w:val="525866"/>
          <w:sz w:val="22"/>
        </w:rPr>
        <w:t>Overall stabilized portfolio occupancy at 77.0% (vs. 80.8% in Q2 2025). San Francisco Bay Area occupancy: 75.3% (down from 84.8% in Q2 2025) — primarily driven by KOP 2 (Kilroy Oyster Point Phase 2) life science vacancy. Excluding KOP 2, occupancy was 80.8%.</w:t>
      </w:r>
    </w:p>
    <w:p>
      <w:pPr>
        <w:pStyle w:val="ListBullet"/>
        <w:ind w:left="360" w:hanging="360"/>
      </w:pPr>
      <w:r>
        <w:rPr>
          <w:rFonts w:ascii="Calibri" w:hAnsi="Calibri"/>
          <w:b/>
          <w:color w:val="525866"/>
          <w:sz w:val="22"/>
        </w:rPr>
        <w:t xml:space="preserve">Guidance Affirmed: </w:t>
      </w:r>
      <w:r>
        <w:rPr>
          <w:rFonts w:ascii="Calibri" w:hAnsi="Calibri"/>
          <w:color w:val="525866"/>
          <w:sz w:val="22"/>
        </w:rPr>
        <w:t>Full-year 2026 FFO guidance affirmed at $3.49–$3.63/share. Same-property cash NOI growth guidance: 0.25%–1.25%. Average full-year occupancy guidance: 76.5%–78.0% (80.5%–81.5% excluding KOP 2).</w:t>
      </w:r>
    </w:p>
    <w:p>
      <w:pPr>
        <w:pStyle w:val="ListBullet"/>
        <w:ind w:left="360" w:hanging="360"/>
      </w:pPr>
      <w:r>
        <w:rPr>
          <w:rFonts w:ascii="Calibri" w:hAnsi="Calibri"/>
          <w:b/>
          <w:color w:val="525866"/>
          <w:sz w:val="22"/>
        </w:rPr>
        <w:t xml:space="preserve">Capital Recycling: </w:t>
      </w:r>
      <w:r>
        <w:rPr>
          <w:rFonts w:ascii="Calibri" w:hAnsi="Calibri"/>
          <w:color w:val="525866"/>
          <w:sz w:val="22"/>
        </w:rPr>
        <w:t>Completed ~$200M of residential dispositions in April. Expanded unsecured credit facilities (revolver to $1.25B, term loan to $250M). Repaid $50M of senior notes in April and $200M in July.</w:t>
      </w:r>
    </w:p>
    <w:p>
      <w:pPr>
        <w:pStyle w:val="ListBullet"/>
        <w:ind w:left="360" w:hanging="360"/>
      </w:pPr>
      <w:r>
        <w:rPr>
          <w:rFonts w:ascii="Calibri" w:hAnsi="Calibri"/>
          <w:b/>
          <w:color w:val="525866"/>
          <w:sz w:val="22"/>
        </w:rPr>
        <w:t xml:space="preserve">BXP Read-Through: </w:t>
      </w:r>
      <w:r>
        <w:rPr>
          <w:rFonts w:ascii="Calibri" w:hAnsi="Calibri"/>
          <w:b/>
          <w:color w:val="30A46C"/>
          <w:sz w:val="22"/>
        </w:rPr>
        <w:t>Mixed but net positive. KRC's positive re-leasing spreads (+27% GAAP) and CEO commentary on improving West Coast fundamentals support BXP's San Francisco recovery narrative. However, KRC's still-depressed overall occupancy (77%) is a reminder that West Coast recovery is uneven — BXP's SF portfolio is more urban CBD and premier (680 Folsom, 50 Hawthorne, 535 Mission), which has been outperforming KRC's suburban/life science campus exposure. BXP reported 80% of SF leasing from AI/tech in Q1 and 1.4M sq ft of positive absorption in SF in Q1 — a fundamentally different demand profile than KRC's.</w:t>
      </w:r>
    </w:p>
    <w:p>
      <w:pPr>
        <w:pStyle w:val="Heading3"/>
      </w:pPr>
      <w:r>
        <w:rPr>
          <w:rFonts w:ascii="Calibri" w:hAnsi="Calibri"/>
          <w:b/>
          <w:color w:val="3B4259"/>
          <w:sz w:val="24"/>
        </w:rPr>
        <w:t>C. Vornado Realty Trust (VNO) — Q1 2026 Earnings Call (May 5, 2026)</w:t>
      </w:r>
    </w:p>
    <w:p>
      <w:r>
        <w:rPr>
          <w:rFonts w:ascii="Calibri" w:hAnsi="Calibri"/>
          <w:b/>
          <w:color w:val="525866"/>
          <w:sz w:val="22"/>
        </w:rPr>
        <w:t>Relevance: HIGH — VNO's Q1 2026 call (May 5) contained extensive forward-looking commentary on Q2 2026 and full-year 2026 NYC and SF office market conditions.</w:t>
      </w:r>
    </w:p>
    <w:p>
      <w:pPr>
        <w:pStyle w:val="ListBullet"/>
        <w:ind w:left="360" w:hanging="360"/>
      </w:pPr>
      <w:r>
        <w:rPr>
          <w:rFonts w:ascii="Calibri" w:hAnsi="Calibri"/>
          <w:b/>
          <w:color w:val="525866"/>
          <w:sz w:val="22"/>
        </w:rPr>
        <w:t xml:space="preserve">NYC Landlord's Market Confirmed: </w:t>
      </w:r>
      <w:r>
        <w:rPr>
          <w:rFonts w:ascii="Calibri" w:hAnsi="Calibri"/>
          <w:color w:val="525866"/>
          <w:sz w:val="22"/>
        </w:rPr>
        <w:t>Manhattan office market described as 'head and shoulders the best in the country and off to its strongest start to a year in over a decade.' Q1 2026 Manhattan leasing volume: nearly 12M sq ft — highest Q1 since 2014. 'Significant supply-demand imbalance' in Class A+ buildings; availability rate in prime Midtown/West Side 'tightened significantly' with 'little new supply coming for the foreseeable future.'</w:t>
      </w:r>
    </w:p>
    <w:p>
      <w:pPr>
        <w:pStyle w:val="ListBullet"/>
        <w:ind w:left="360" w:hanging="360"/>
      </w:pPr>
      <w:r>
        <w:rPr>
          <w:rFonts w:ascii="Calibri" w:hAnsi="Calibri"/>
          <w:b/>
          <w:color w:val="525866"/>
          <w:sz w:val="22"/>
        </w:rPr>
        <w:t xml:space="preserve">Tenants Competing for Space: </w:t>
      </w:r>
      <w:r>
        <w:rPr>
          <w:rFonts w:ascii="Calibri" w:hAnsi="Calibri"/>
          <w:color w:val="525866"/>
          <w:sz w:val="22"/>
        </w:rPr>
        <w:t>'Tenants competing for space and rents rising aggressively — the landlords market we have been long predicting is very much here.' Average starting rents in Manhattan: $103/sq ft in Q1 2026; mark-to-markets +11.7% GAAP, +9.7% cash. Free rent and TIs 'starting to come down.'</w:t>
      </w:r>
    </w:p>
    <w:p>
      <w:pPr>
        <w:pStyle w:val="ListBullet"/>
        <w:ind w:left="360" w:hanging="360"/>
      </w:pPr>
      <w:r>
        <w:rPr>
          <w:rFonts w:ascii="Calibri" w:hAnsi="Calibri"/>
          <w:b/>
          <w:color w:val="525866"/>
          <w:sz w:val="22"/>
        </w:rPr>
        <w:t xml:space="preserve">San Francisco Demand Accelerating: </w:t>
      </w:r>
      <w:r>
        <w:rPr>
          <w:rFonts w:ascii="Calibri" w:hAnsi="Calibri"/>
          <w:color w:val="525866"/>
          <w:sz w:val="22"/>
        </w:rPr>
        <w:t>SF demand 'coming on very strong' — deals at Tower 555 'north of $160/sq ft.' Volume 'strengthening week-to-week.' AI demand 'picked up more recently' — 315 Montgomery seeing 'a lot of really good activity with more technology, AI type tenants.'</w:t>
      </w:r>
    </w:p>
    <w:p>
      <w:pPr>
        <w:pStyle w:val="ListBullet"/>
        <w:ind w:left="360" w:hanging="360"/>
      </w:pPr>
      <w:r>
        <w:rPr>
          <w:rFonts w:ascii="Calibri" w:hAnsi="Calibri"/>
          <w:b/>
          <w:color w:val="525866"/>
          <w:sz w:val="22"/>
        </w:rPr>
        <w:t xml:space="preserve">AI Demand Not Overblown: </w:t>
      </w:r>
      <w:r>
        <w:rPr>
          <w:rFonts w:ascii="Calibri" w:hAnsi="Calibri"/>
          <w:color w:val="525866"/>
          <w:sz w:val="22"/>
        </w:rPr>
        <w:t>VNO believes AI fear is 'overblown' — 'New York and San Francisco will be winners as the intellectual and innovation capitals of the country, where talent will continue to aggregate and in the best buildings.'</w:t>
      </w:r>
    </w:p>
    <w:p>
      <w:pPr>
        <w:pStyle w:val="ListBullet"/>
        <w:ind w:left="360" w:hanging="360"/>
      </w:pPr>
      <w:r>
        <w:rPr>
          <w:rFonts w:ascii="Calibri" w:hAnsi="Calibri"/>
          <w:b/>
          <w:color w:val="525866"/>
          <w:sz w:val="22"/>
        </w:rPr>
        <w:t xml:space="preserve">Earnings Growth Outlook: </w:t>
      </w:r>
      <w:r>
        <w:rPr>
          <w:rFonts w:ascii="Calibri" w:hAnsi="Calibri"/>
          <w:color w:val="525866"/>
          <w:sz w:val="22"/>
        </w:rPr>
        <w:t>Full-year 2026 comparable FFO expected to be 'slightly higher than 2025, ramping up each quarter.' 'Significant earnings growth in 2027' anticipated from PENN 1/PENN 2 lease-up and Park Avenue Plaza acquisition. VNO is 'certain that over the next year or 2, we will have the highest growth performance of any company in our sector.'</w:t>
      </w:r>
    </w:p>
    <w:p>
      <w:pPr>
        <w:pStyle w:val="ListBullet"/>
        <w:ind w:left="360" w:hanging="360"/>
      </w:pPr>
      <w:r>
        <w:rPr>
          <w:rFonts w:ascii="Calibri" w:hAnsi="Calibri"/>
          <w:b/>
          <w:color w:val="525866"/>
          <w:sz w:val="22"/>
        </w:rPr>
        <w:t xml:space="preserve">BXP Read-Through: </w:t>
      </w:r>
      <w:r>
        <w:rPr>
          <w:rFonts w:ascii="Calibri" w:hAnsi="Calibri"/>
          <w:b/>
          <w:color w:val="30A46C"/>
          <w:sz w:val="22"/>
        </w:rPr>
        <w:t>Directly positive for BXP's NYC and SF portfolios. VNO's data on Manhattan leasing volume (12M sq ft in Q1, highest since 2014) and rent growth (+11.7% GAAP mark-to-market) is consistent with BXP's own commentary on Back Bay, Midtown, and Reston being in landlord-favorable conditions. VNO's SF commentary on $160+/sq ft rents and AI demand aligns with BXP's 680 Folsom and 50 Hawthorne leasing activity. The 'rents rising aggressively' theme directly supports BXP's guidance for double-digit rent growth on Park Avenue and Back Bay.</w:t>
      </w:r>
    </w:p>
    <w:p>
      <w:pPr>
        <w:pStyle w:val="Heading3"/>
      </w:pPr>
      <w:r>
        <w:rPr>
          <w:rFonts w:ascii="Calibri" w:hAnsi="Calibri"/>
          <w:b/>
          <w:color w:val="3B4259"/>
          <w:sz w:val="24"/>
        </w:rPr>
        <w:t>D. Cousins Properties (CUZ) — Q1 2026 Earnings Call (April 30, 2026)</w:t>
      </w:r>
    </w:p>
    <w:p>
      <w:r>
        <w:rPr>
          <w:rFonts w:ascii="Calibri" w:hAnsi="Calibri"/>
          <w:b/>
          <w:color w:val="525866"/>
          <w:sz w:val="22"/>
        </w:rPr>
        <w:t>Relevance: MODERATE — CUZ's Q1 2026 call (April 30) contained extensive forward-looking commentary on Q2 2026 leasing pipeline and Sunbelt office market dynamics relevant to BXP's DC/Reston portfolio.</w:t>
      </w:r>
    </w:p>
    <w:p>
      <w:pPr>
        <w:pStyle w:val="ListBullet"/>
        <w:ind w:left="360" w:hanging="360"/>
      </w:pPr>
      <w:r>
        <w:rPr>
          <w:rFonts w:ascii="Calibri" w:hAnsi="Calibri"/>
          <w:b/>
          <w:color w:val="525866"/>
          <w:sz w:val="22"/>
        </w:rPr>
        <w:t xml:space="preserve">Record Q1 Leasing: </w:t>
      </w:r>
      <w:r>
        <w:rPr>
          <w:rFonts w:ascii="Calibri" w:hAnsi="Calibri"/>
          <w:color w:val="525866"/>
          <w:sz w:val="22"/>
        </w:rPr>
        <w:t>932,000 sq ft completed in Q1 2026 — highest Q1 in over a decade, highest quarterly level since Q2 2019. 52% new/expansion leases. Late-stage pipeline as of April 30: 1M sq ft either signed Q2-to-date or in lease negotiations; pipeline ~2x the size of a year ago.</w:t>
      </w:r>
    </w:p>
    <w:p>
      <w:pPr>
        <w:pStyle w:val="ListBullet"/>
        <w:ind w:left="360" w:hanging="360"/>
      </w:pPr>
      <w:r>
        <w:rPr>
          <w:rFonts w:ascii="Calibri" w:hAnsi="Calibri"/>
          <w:b/>
          <w:color w:val="525866"/>
          <w:sz w:val="22"/>
        </w:rPr>
        <w:t xml:space="preserve">Demand Drivers: </w:t>
      </w:r>
      <w:r>
        <w:rPr>
          <w:rFonts w:ascii="Calibri" w:hAnsi="Calibri"/>
          <w:color w:val="525866"/>
          <w:sz w:val="22"/>
        </w:rPr>
        <w:t>Return-to-office mandates accelerating (Fidelity 5-day mandate cited). 'Flight to quality is unrelenting.' Sunbelt migration reaccelerating — Starbucks Nashville HQ, Apollo Texas/Florida second HQ, Capital Group Charlotte hub. AI companies 'beginning to infiltrate the Sun Belt' — Oracle's 116K sq ft Nashville lease cited as 'center of Oracle's cloud and AI growth.'</w:t>
      </w:r>
    </w:p>
    <w:p>
      <w:pPr>
        <w:pStyle w:val="ListBullet"/>
        <w:ind w:left="360" w:hanging="360"/>
      </w:pPr>
      <w:r>
        <w:rPr>
          <w:rFonts w:ascii="Calibri" w:hAnsi="Calibri"/>
          <w:b/>
          <w:color w:val="525866"/>
          <w:sz w:val="22"/>
        </w:rPr>
        <w:t xml:space="preserve">Rent Growth Exceptional: </w:t>
      </w:r>
      <w:r>
        <w:rPr>
          <w:rFonts w:ascii="Calibri" w:hAnsi="Calibri"/>
          <w:color w:val="525866"/>
          <w:sz w:val="22"/>
        </w:rPr>
        <w:t>Cash rent roll-up +15.2% — 48 consecutive quarters of positive rent roll-ups. Average net rent $44.54, ~18% higher than full-year 2025. Atlanta Buckhead rents up 20% in the last year; Dallas Uptown rents up ~40% since 2021; Phoenix Hayden Ferry up ~20% since 2024.</w:t>
      </w:r>
    </w:p>
    <w:p>
      <w:pPr>
        <w:pStyle w:val="ListBullet"/>
        <w:ind w:left="360" w:hanging="360"/>
      </w:pPr>
      <w:r>
        <w:rPr>
          <w:rFonts w:ascii="Calibri" w:hAnsi="Calibri"/>
          <w:b/>
          <w:color w:val="525866"/>
          <w:sz w:val="22"/>
        </w:rPr>
        <w:t xml:space="preserve">Supply Dynamics: </w:t>
      </w:r>
      <w:r>
        <w:rPr>
          <w:rFonts w:ascii="Calibri" w:hAnsi="Calibri"/>
          <w:color w:val="525866"/>
          <w:sz w:val="22"/>
        </w:rPr>
        <w:t>'Record high office conversions combined with record low new development starts leading to shrinking inventory... unlikely to change until 2030.' An 'emerging shortage of premier lifestyle office space in the best submarkets of the Sunbelt' expected to 'become increasingly acute over the next several years and favor landlords.'</w:t>
      </w:r>
    </w:p>
    <w:p>
      <w:pPr>
        <w:pStyle w:val="ListBullet"/>
        <w:ind w:left="360" w:hanging="360"/>
      </w:pPr>
      <w:r>
        <w:rPr>
          <w:rFonts w:ascii="Calibri" w:hAnsi="Calibri"/>
          <w:b/>
          <w:color w:val="525866"/>
          <w:sz w:val="22"/>
        </w:rPr>
        <w:t xml:space="preserve">Occupancy Target: </w:t>
      </w:r>
      <w:r>
        <w:rPr>
          <w:rFonts w:ascii="Calibri" w:hAnsi="Calibri"/>
          <w:color w:val="525866"/>
          <w:sz w:val="22"/>
        </w:rPr>
        <w:t>Year-end 2026 occupancy target: 90% (currently 88.9%). Lease expirations through 2027 now only 8.3% of contractual rent (320 bps lower than end of 2025).</w:t>
      </w:r>
    </w:p>
    <w:p>
      <w:pPr>
        <w:pStyle w:val="ListBullet"/>
        <w:ind w:left="360" w:hanging="360"/>
      </w:pPr>
      <w:r>
        <w:rPr>
          <w:rFonts w:ascii="Calibri" w:hAnsi="Calibri"/>
          <w:b/>
          <w:color w:val="525866"/>
          <w:sz w:val="22"/>
        </w:rPr>
        <w:t xml:space="preserve">BXP Read-Through: </w:t>
      </w:r>
      <w:r>
        <w:rPr>
          <w:rFonts w:ascii="Calibri" w:hAnsi="Calibri"/>
          <w:b/>
          <w:color w:val="30A46C"/>
          <w:sz w:val="22"/>
        </w:rPr>
        <w:t>Indirectly positive — confirms broad-based office demand recovery across quality assets. BXP's DC portfolio (Reston Town Center 97.3% leased, 2200 Penn Washington Commanders lease, 2100 M Street ~75% leased) benefits from similar Sunbelt/suburban premium dynamics. The 'flight to quality' and return-to-office themes directly support BXP's premier workplace thesis. The 'emerging shortage' narrative is consistent with BXP management's commentary on DC clients proactively approaching BXP to build new buildings before BXP controls the site.</w:t>
      </w:r>
    </w:p>
    <w:p>
      <w:pPr>
        <w:pStyle w:val="Heading3"/>
      </w:pPr>
      <w:r>
        <w:rPr>
          <w:rFonts w:ascii="Calibri" w:hAnsi="Calibri"/>
          <w:b/>
          <w:color w:val="3B4259"/>
          <w:sz w:val="24"/>
        </w:rPr>
        <w:t>E. Alexandria Real Estate Equities (ARE) — Q1 2026 Earnings Call (April 28, 2026)</w:t>
      </w:r>
    </w:p>
    <w:p>
      <w:r>
        <w:rPr>
          <w:rFonts w:ascii="Calibri" w:hAnsi="Calibri"/>
          <w:b/>
          <w:color w:val="525866"/>
          <w:sz w:val="22"/>
        </w:rPr>
        <w:t>Relevance: MODERATE — ARE's Q1 2026 call (April 28) provided forward-looking commentary on Q2 2026 leasing expectations and Greater Boston life science market conditions relevant to BXP's Urban Edge Boston portfolio.</w:t>
      </w:r>
    </w:p>
    <w:p>
      <w:pPr>
        <w:pStyle w:val="ListBullet"/>
        <w:ind w:left="360" w:hanging="360"/>
      </w:pPr>
      <w:r>
        <w:rPr>
          <w:rFonts w:ascii="Calibri" w:hAnsi="Calibri"/>
          <w:b/>
          <w:color w:val="525866"/>
          <w:sz w:val="22"/>
        </w:rPr>
        <w:t xml:space="preserve">Life Science Market Challenging: </w:t>
      </w:r>
      <w:r>
        <w:rPr>
          <w:rFonts w:ascii="Calibri" w:hAnsi="Calibri"/>
          <w:color w:val="525866"/>
          <w:sz w:val="22"/>
        </w:rPr>
        <w:t>Q1 2026 described as a 'very tough operating environment.' Public biotech leasing was zero in Q1 — 'maybe the first quarter in the history of the company that I can remember where we didn't sign a single public biotech lease.' NIH/FDA leadership challenges, selective capital markets.</w:t>
      </w:r>
    </w:p>
    <w:p>
      <w:pPr>
        <w:pStyle w:val="ListBullet"/>
        <w:ind w:left="360" w:hanging="360"/>
      </w:pPr>
      <w:r>
        <w:rPr>
          <w:rFonts w:ascii="Calibri" w:hAnsi="Calibri"/>
          <w:b/>
          <w:color w:val="525866"/>
          <w:sz w:val="22"/>
        </w:rPr>
        <w:t xml:space="preserve">Q2 2026 Leasing Expected to Improve: </w:t>
      </w:r>
      <w:r>
        <w:rPr>
          <w:rFonts w:ascii="Calibri" w:hAnsi="Calibri"/>
          <w:color w:val="525866"/>
          <w:sz w:val="22"/>
        </w:rPr>
        <w:t>ARE expects Q2 leasing volume to improve to ~900,000 sq ft (up from 647,000 sq ft in Q1). Development pipeline 77% leased. Occupancy expected to be pressured in Q2 due to ~45% of 747,000 sq ft of key lease expirations expected to go vacant in Q2.</w:t>
      </w:r>
    </w:p>
    <w:p>
      <w:pPr>
        <w:pStyle w:val="ListBullet"/>
        <w:ind w:left="360" w:hanging="360"/>
      </w:pPr>
      <w:r>
        <w:rPr>
          <w:rFonts w:ascii="Calibri" w:hAnsi="Calibri"/>
          <w:b/>
          <w:color w:val="525866"/>
          <w:sz w:val="22"/>
        </w:rPr>
        <w:t xml:space="preserve">AI Impact Neutral for Life Science: </w:t>
      </w:r>
      <w:r>
        <w:rPr>
          <w:rFonts w:ascii="Calibri" w:hAnsi="Calibri"/>
          <w:color w:val="525866"/>
          <w:sz w:val="22"/>
        </w:rPr>
        <w:t>AI 'can support but not replace physical experimentation.' No tenants reducing space due to AI. 'Push button drug discovery is overhyped.' AI impact on real estate demand 'really remains neutral' for life science.</w:t>
      </w:r>
    </w:p>
    <w:p>
      <w:pPr>
        <w:pStyle w:val="ListBullet"/>
        <w:ind w:left="360" w:hanging="360"/>
      </w:pPr>
      <w:r>
        <w:rPr>
          <w:rFonts w:ascii="Calibri" w:hAnsi="Calibri"/>
          <w:b/>
          <w:color w:val="525866"/>
          <w:sz w:val="22"/>
        </w:rPr>
        <w:t xml:space="preserve">Greater Boston Outperforming: </w:t>
      </w:r>
      <w:r>
        <w:rPr>
          <w:rFonts w:ascii="Calibri" w:hAnsi="Calibri"/>
          <w:color w:val="525866"/>
          <w:sz w:val="22"/>
        </w:rPr>
        <w:t>ARE's occupancy in its largest three markets (mid-to-high 80% range) significantly outperforms market occupancy (mid-to-high 70% range). ARE captured ~20% of total leases in Greater Boston (153% of market share).</w:t>
      </w:r>
    </w:p>
    <w:p>
      <w:pPr>
        <w:pStyle w:val="ListBullet"/>
        <w:ind w:left="360" w:hanging="360"/>
      </w:pPr>
      <w:r>
        <w:rPr>
          <w:rFonts w:ascii="Calibri" w:hAnsi="Calibri"/>
          <w:b/>
          <w:color w:val="525866"/>
          <w:sz w:val="22"/>
        </w:rPr>
        <w:t xml:space="preserve">Advanced Technology Demand Emerging: </w:t>
      </w:r>
      <w:r>
        <w:rPr>
          <w:rFonts w:ascii="Calibri" w:hAnsi="Calibri"/>
          <w:color w:val="525866"/>
          <w:sz w:val="22"/>
        </w:rPr>
        <w:t>ARE seeing good activity for projects from 'advanced technology users' — 82,000 sq ft of LOIs with 4 tenants at 311 Arsenal Street; 160,000 sq ft LOI at 3000 Minuteman Road with an advanced technology tenant. Advanced technology defined broadly to include Amazon, Leidos, and similar sophisticated users.</w:t>
      </w:r>
    </w:p>
    <w:p>
      <w:pPr>
        <w:pStyle w:val="ListBullet"/>
        <w:ind w:left="360" w:hanging="360"/>
      </w:pPr>
      <w:r>
        <w:rPr>
          <w:rFonts w:ascii="Calibri" w:hAnsi="Calibri"/>
          <w:b/>
          <w:color w:val="525866"/>
          <w:sz w:val="22"/>
        </w:rPr>
        <w:t xml:space="preserve">BXP Read-Through: </w:t>
      </w:r>
      <w:r>
        <w:rPr>
          <w:rFonts w:ascii="Calibri" w:hAnsi="Calibri"/>
          <w:b/>
          <w:color w:val="30A46C"/>
          <w:sz w:val="22"/>
        </w:rPr>
        <w:t>Relevant for BXP's Greater Boston life science exposure (180 CityPoint, The Quarry, Urban Edge properties). BXP management stated the Greater Boston life science market has 'already bottomed out' — ARE's commentary is more cautious but consistent with a bottoming process. BXP's life science tenants are increasingly office-oriented (not wet lab), which insulates BXP from the worst of the lab-space oversupply. The 43K sq ft life science lease at 180 CityPoint in Q1 and the 100K sq ft lease at The Quarry are consistent with ARE's observation of improving incubator-level activity and advanced technology demand.</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343 Madison Avenue construction loan term sheet agreement and equity raise progress — closing expected Q3 2026 — which would derisk BXP's largest development project and is the single most important catalyst for the stock beyond the Q2 print itself.</w:t>
      </w:r>
    </w:p>
    <w:p>
      <w:pPr>
        <w:pStyle w:val="ListBullet"/>
        <w:ind w:left="360" w:hanging="360"/>
      </w:pPr>
      <w:r>
        <w:rPr>
          <w:rFonts w:ascii="Calibri" w:hAnsi="Calibri"/>
          <w:b/>
          <w:color w:val="525866"/>
          <w:sz w:val="22"/>
        </w:rPr>
        <w:t xml:space="preserve">343 Madison Avenue — Construction Financing &amp; Pre-Leasing Progress (Ongoing, Q2 2026): </w:t>
      </w:r>
      <w:r>
        <w:rPr>
          <w:rFonts w:ascii="Calibri" w:hAnsi="Calibri"/>
          <w:color w:val="525866"/>
          <w:sz w:val="22"/>
        </w:rPr>
        <w:t xml:space="preserve">Construction loan term sheet (~$1.2B, ~60% of total project cost) fully agreed with bank syndicate; closing expected Q3 2026. Project 56% pre-leased — anchor tenant STAR expanded by two floors to 325,000 sq ft, plus two additional leases expected to close by end of Q2 for ~200,000 incremental sq ft. Equity raise targeting $150M–$400M from international family offices, with multiple parties circled and term sheets in progress. Steel delivery expected July 2026, erection beginning August 2026. Project delivery targeted mid-2028, tenant occupancy mid-2029. Construction ~85% bought out on trades and under budget. </w:t>
      </w:r>
      <w:r>
        <w:rPr>
          <w:rFonts w:ascii="Calibri" w:hAnsi="Calibri"/>
          <w:b/>
          <w:color w:val="525866"/>
          <w:sz w:val="22"/>
        </w:rPr>
        <w:t>Implication: Closing the construction loan and completing the equity raise would be a major derisking event for BXP's development pipeline and could serve as a meaningful positive catalyst for the stock.</w:t>
      </w:r>
    </w:p>
    <w:p>
      <w:pPr>
        <w:pStyle w:val="ListBullet"/>
        <w:ind w:left="360" w:hanging="360"/>
      </w:pPr>
      <w:r>
        <w:rPr>
          <w:rFonts w:ascii="Calibri" w:hAnsi="Calibri"/>
          <w:b/>
          <w:color w:val="525866"/>
          <w:sz w:val="22"/>
        </w:rPr>
        <w:t xml:space="preserve">290 Binney Street — Early Delivery (April 1, 2026): </w:t>
      </w:r>
      <w:r>
        <w:rPr>
          <w:rFonts w:ascii="Calibri" w:hAnsi="Calibri"/>
          <w:color w:val="525866"/>
          <w:sz w:val="22"/>
        </w:rPr>
        <w:t xml:space="preserve">AstraZeneca commenced cash rent payments as of April 1, 2026; project delivered ahead of schedule (June 1 at latest, more than a month early). Early delivery accelerates NOI contribution but also triggered earlier cessation of capitalized interest, adding to net interest expense headwind in Q1 and Q2. </w:t>
      </w:r>
      <w:r>
        <w:rPr>
          <w:rFonts w:ascii="Calibri" w:hAnsi="Calibri"/>
          <w:b/>
          <w:color w:val="525866"/>
          <w:sz w:val="22"/>
        </w:rPr>
        <w:t>Implication: Positive for NOI trajectory; the interest expense headwind was already flagged in Q1 guidance and is likely already in consensus.</w:t>
      </w:r>
    </w:p>
    <w:p>
      <w:pPr>
        <w:pStyle w:val="ListBullet"/>
        <w:ind w:left="360" w:hanging="360"/>
      </w:pPr>
      <w:r>
        <w:rPr>
          <w:rFonts w:ascii="Calibri" w:hAnsi="Calibri"/>
          <w:b/>
          <w:color w:val="525866"/>
          <w:sz w:val="22"/>
        </w:rPr>
        <w:t xml:space="preserve">Asset Sale Program — Substantially Complete (Q2 2026): </w:t>
      </w:r>
      <w:r>
        <w:rPr>
          <w:rFonts w:ascii="Calibri" w:hAnsi="Calibri"/>
          <w:color w:val="525866"/>
          <w:sz w:val="22"/>
        </w:rPr>
        <w:t xml:space="preserve">Program composition: ~$400M land, ~$500M residential, ~$1B non-core office at blended ~6% cap rate toward $1.9B three-year target. As of REITweek (May 27): ~$1.2B closed, ~$200M under contract with hard deposits, ~$400M in active marketing. Sumner Square (Washington DC) sale announced. </w:t>
      </w:r>
      <w:r>
        <w:rPr>
          <w:rFonts w:ascii="Calibri" w:hAnsi="Calibri"/>
          <w:b/>
          <w:color w:val="525866"/>
          <w:sz w:val="22"/>
        </w:rPr>
        <w:t>Implication: Proceeds reduce leverage (net debt/EBITDA target: low 7x from current ~8.1x) and fund development pipeline without public equity issuance.</w:t>
      </w:r>
    </w:p>
    <w:p>
      <w:pPr>
        <w:pStyle w:val="ListBullet"/>
        <w:ind w:left="360" w:hanging="360"/>
      </w:pPr>
      <w:r>
        <w:rPr>
          <w:rFonts w:ascii="Calibri" w:hAnsi="Calibri"/>
          <w:b/>
          <w:color w:val="525866"/>
          <w:sz w:val="22"/>
        </w:rPr>
        <w:t xml:space="preserve">REITweek Investor Conference (May 27, 2026): </w:t>
      </w:r>
      <w:r>
        <w:rPr>
          <w:rFonts w:ascii="Calibri" w:hAnsi="Calibri"/>
          <w:color w:val="525866"/>
          <w:sz w:val="22"/>
        </w:rPr>
        <w:t xml:space="preserve">BXP presented at Nareit's 2026 REITweek Investor Conference. Management reiterated confidence in occupancy trajectory and 343 Madison financing progress. Over 800,000 sq ft of Q2 leasing already executed as of conference date — a strong early read on Q2 leasing momentum. No guidance revision filed. </w:t>
      </w:r>
      <w:r>
        <w:rPr>
          <w:rFonts w:ascii="Calibri" w:hAnsi="Calibri"/>
          <w:b/>
          <w:color w:val="525866"/>
          <w:sz w:val="22"/>
        </w:rPr>
        <w:t>Implication: The 800K+ sq ft Q2 leasing figure (disclosed at REITweek) is a key data point suggesting Q2 leasing volume is tracking well ahead of pace.</w:t>
      </w:r>
    </w:p>
    <w:p>
      <w:pPr>
        <w:pStyle w:val="ListBullet"/>
        <w:ind w:left="360" w:hanging="360"/>
      </w:pPr>
      <w:r>
        <w:rPr>
          <w:rFonts w:ascii="Calibri" w:hAnsi="Calibri"/>
          <w:b/>
          <w:color w:val="525866"/>
          <w:sz w:val="22"/>
        </w:rPr>
        <w:t xml:space="preserve">Q2 2026 Earnings Date Announced (June 29, 2026): </w:t>
      </w:r>
      <w:r>
        <w:rPr>
          <w:rFonts w:ascii="Calibri" w:hAnsi="Calibri"/>
          <w:color w:val="525866"/>
          <w:sz w:val="22"/>
        </w:rPr>
        <w:t xml:space="preserve">BXP announced Q2 2026 earnings release date of July 28, 2026. No pre-announcement or guidance revision filed alongside the announcement. </w:t>
      </w:r>
      <w:r>
        <w:rPr>
          <w:rFonts w:ascii="Calibri" w:hAnsi="Calibri"/>
          <w:b/>
          <w:color w:val="525866"/>
          <w:sz w:val="22"/>
        </w:rPr>
        <w:t>Implication: Absence of a pre-announcement is neutral — no negative surprise flagged.</w:t>
      </w:r>
    </w:p>
    <w:p>
      <w:pPr>
        <w:pStyle w:val="ListBullet"/>
        <w:ind w:left="360" w:hanging="360"/>
      </w:pPr>
      <w:r>
        <w:rPr>
          <w:rFonts w:ascii="Calibri" w:hAnsi="Calibri"/>
          <w:b/>
          <w:color w:val="525866"/>
          <w:sz w:val="22"/>
        </w:rPr>
        <w:t xml:space="preserve">SL Green Q2 2026 Beat &amp; Guidance Raise (July 23, 2026): </w:t>
      </w:r>
      <w:r>
        <w:rPr>
          <w:rFonts w:ascii="Calibri" w:hAnsi="Calibri"/>
          <w:color w:val="525866"/>
          <w:sz w:val="22"/>
        </w:rPr>
        <w:t xml:space="preserve">SLG raised full-year 2026 FFO guidance by $1.20/share (+26%), driven by NYC office outperformance and One Vanderbilt accounting change. NYC office market described as experiencing 'extraordinary and prolonged surge in business activity.' </w:t>
      </w:r>
      <w:r>
        <w:rPr>
          <w:rFonts w:ascii="Calibri" w:hAnsi="Calibri"/>
          <w:b/>
          <w:color w:val="525866"/>
          <w:sz w:val="22"/>
        </w:rPr>
        <w:t>Implication: Strongly positive read-through for BXP's NYC portfolio; confirms the landlord's market BXP has been describing.</w:t>
      </w:r>
    </w:p>
    <w:p>
      <w:pPr>
        <w:pStyle w:val="ListBullet"/>
        <w:ind w:left="360" w:hanging="360"/>
      </w:pPr>
      <w:r>
        <w:rPr>
          <w:rFonts w:ascii="Calibri" w:hAnsi="Calibri"/>
          <w:b/>
          <w:color w:val="525866"/>
          <w:sz w:val="22"/>
        </w:rPr>
        <w:t xml:space="preserve">Kilroy Realty Q2 2026 Results (July 27, 2026): </w:t>
      </w:r>
      <w:r>
        <w:rPr>
          <w:rFonts w:ascii="Calibri" w:hAnsi="Calibri"/>
          <w:color w:val="525866"/>
          <w:sz w:val="22"/>
        </w:rPr>
        <w:t xml:space="preserve">KRC affirmed full-year 2026 FFO guidance; re-leasing spreads +27% GAAP on West Coast. CEO noted 'continuing improvement in commercial real estate fundamentals across our West Coast markets.' </w:t>
      </w:r>
      <w:r>
        <w:rPr>
          <w:rFonts w:ascii="Calibri" w:hAnsi="Calibri"/>
          <w:b/>
          <w:color w:val="525866"/>
          <w:sz w:val="22"/>
        </w:rPr>
        <w:t>Implication: Positive for BXP's San Francisco recovery narrative; confirms improving West Coast fundamentals.</w:t>
      </w:r>
    </w:p>
    <w:p>
      <w:pPr>
        <w:pStyle w:val="ListBullet"/>
        <w:ind w:left="360" w:hanging="360"/>
      </w:pPr>
      <w:r>
        <w:rPr>
          <w:rFonts w:ascii="Calibri" w:hAnsi="Calibri"/>
          <w:b/>
          <w:color w:val="525866"/>
          <w:sz w:val="22"/>
        </w:rPr>
        <w:t xml:space="preserve">Analyst Rating/PT Activity: </w:t>
      </w:r>
      <w:r>
        <w:rPr>
          <w:rFonts w:ascii="Calibri" w:hAnsi="Calibri"/>
          <w:color w:val="525866"/>
          <w:sz w:val="22"/>
        </w:rPr>
        <w:t>No specific analyst rating changes identified in the research context since Q1 earnings. BXP's stock outperformance (+17%) suggests the analyst community has been broadly constructive on the name.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discretionary open-market buys or sells by senior executives since Q1 earnings — the two sales identified (Spann, Otteni) are conversion-linked and not indicative of negative sentiment; the absence of open-market buying is notable given management's stated view that the stock trades at a meaningful discount to NAV, but is consistent with management's explicit capital allocation priority of development and deleveraging over buybacks.</w:t>
      </w:r>
    </w:p>
    <w:p>
      <w:r>
        <w:rPr>
          <w:rFonts w:ascii="Calibri" w:hAnsi="Calibri"/>
          <w:b/>
          <w:color w:val="525866"/>
          <w:sz w:val="22"/>
        </w:rPr>
        <w:t>Open-Market Transactions (Form 4, Codes P/S) Since Q1 2026 Earnings (April 28,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Peter V. Otteni</w:t>
            </w:r>
          </w:p>
        </w:tc>
        <w:tc>
          <w:tcPr>
            <w:tcW w:type="dxa" w:w="1440"/>
          </w:tcPr>
          <w:p>
            <w:r>
              <w:rPr>
                <w:rFonts w:ascii="Calibri" w:hAnsi="Calibri"/>
                <w:sz w:val="22"/>
              </w:rPr>
              <w:t>Executive Vice President</w:t>
            </w:r>
          </w:p>
        </w:tc>
        <w:tc>
          <w:tcPr>
            <w:tcW w:type="dxa" w:w="1440"/>
          </w:tcPr>
          <w:p>
            <w:r>
              <w:rPr>
                <w:rFonts w:ascii="Calibri" w:hAnsi="Calibri"/>
                <w:sz w:val="22"/>
              </w:rPr>
              <w:t>Open Market Sale (S)</w:t>
            </w:r>
          </w:p>
        </w:tc>
        <w:tc>
          <w:tcPr>
            <w:tcW w:type="dxa" w:w="1440"/>
          </w:tcPr>
          <w:p>
            <w:r>
              <w:rPr>
                <w:rFonts w:ascii="Calibri" w:hAnsi="Calibri"/>
                <w:sz w:val="22"/>
              </w:rPr>
              <w:t>4,863</w:t>
            </w:r>
          </w:p>
        </w:tc>
        <w:tc>
          <w:tcPr>
            <w:tcW w:type="dxa" w:w="1440"/>
          </w:tcPr>
          <w:p>
            <w:r>
              <w:rPr>
                <w:rFonts w:ascii="Calibri" w:hAnsi="Calibri"/>
                <w:sz w:val="22"/>
              </w:rPr>
              <w:t>May 20, 2026</w:t>
            </w:r>
          </w:p>
        </w:tc>
        <w:tc>
          <w:tcPr>
            <w:tcW w:type="dxa" w:w="1440"/>
          </w:tcPr>
          <w:p>
            <w:r>
              <w:rPr>
                <w:rFonts w:ascii="Calibri" w:hAnsi="Calibri"/>
                <w:sz w:val="22"/>
              </w:rPr>
              <w:t>Preceded by conversion of Common OP Units on May 15 (code C); consistent with unit conversion and immediate sale for tax purposes — not discretionary</w:t>
            </w:r>
          </w:p>
        </w:tc>
      </w:tr>
      <w:tr>
        <w:tc>
          <w:tcPr>
            <w:tcW w:type="dxa" w:w="1440"/>
          </w:tcPr>
          <w:p>
            <w:r>
              <w:rPr>
                <w:rFonts w:ascii="Calibri" w:hAnsi="Calibri"/>
                <w:sz w:val="22"/>
              </w:rPr>
              <w:t>No other open-market buys or sells identified since April 28,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r>
    </w:tbl>
    <w:p>
      <w:r>
        <w:rPr>
          <w:rFonts w:ascii="Calibri" w:hAnsi="Calibri"/>
          <w:b/>
          <w:color w:val="525866"/>
          <w:sz w:val="22"/>
        </w:rPr>
        <w:t>Other Notable Activity Since Q1 Earnings (Non-Open-Market):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Units/Shares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Michael E. LaBelle</w:t>
            </w:r>
          </w:p>
        </w:tc>
        <w:tc>
          <w:tcPr>
            <w:tcW w:type="dxa" w:w="1440"/>
          </w:tcPr>
          <w:p>
            <w:r>
              <w:rPr>
                <w:rFonts w:ascii="Calibri" w:hAnsi="Calibri"/>
                <w:sz w:val="22"/>
              </w:rPr>
              <w:t>EVP &amp; CFO</w:t>
            </w:r>
          </w:p>
        </w:tc>
        <w:tc>
          <w:tcPr>
            <w:tcW w:type="dxa" w:w="1440"/>
          </w:tcPr>
          <w:p>
            <w:r>
              <w:rPr>
                <w:rFonts w:ascii="Calibri" w:hAnsi="Calibri"/>
                <w:sz w:val="22"/>
              </w:rPr>
              <w:t>Unit Conversion (C)</w:t>
            </w:r>
          </w:p>
        </w:tc>
        <w:tc>
          <w:tcPr>
            <w:tcW w:type="dxa" w:w="1440"/>
          </w:tcPr>
          <w:p>
            <w:r>
              <w:rPr>
                <w:rFonts w:ascii="Calibri" w:hAnsi="Calibri"/>
                <w:sz w:val="22"/>
              </w:rPr>
              <w:t>23,981</w:t>
            </w:r>
          </w:p>
        </w:tc>
        <w:tc>
          <w:tcPr>
            <w:tcW w:type="dxa" w:w="1440"/>
          </w:tcPr>
          <w:p>
            <w:r>
              <w:rPr>
                <w:rFonts w:ascii="Calibri" w:hAnsi="Calibri"/>
                <w:sz w:val="22"/>
              </w:rPr>
              <w:t>June 4, 2026</w:t>
            </w:r>
          </w:p>
        </w:tc>
        <w:tc>
          <w:tcPr>
            <w:tcW w:type="dxa" w:w="1440"/>
          </w:tcPr>
          <w:p>
            <w:r>
              <w:rPr>
                <w:rFonts w:ascii="Calibri" w:hAnsi="Calibri"/>
                <w:sz w:val="22"/>
              </w:rPr>
              <w:t>Conversion of Common OP Units to Common Stock; not an open-market sale</w:t>
            </w:r>
          </w:p>
        </w:tc>
      </w:tr>
      <w:tr>
        <w:tc>
          <w:tcPr>
            <w:tcW w:type="dxa" w:w="1440"/>
          </w:tcPr>
          <w:p>
            <w:r>
              <w:rPr>
                <w:rFonts w:ascii="Calibri" w:hAnsi="Calibri"/>
                <w:sz w:val="22"/>
              </w:rPr>
              <w:t>Eric G. Kevorkian</w:t>
            </w:r>
          </w:p>
        </w:tc>
        <w:tc>
          <w:tcPr>
            <w:tcW w:type="dxa" w:w="1440"/>
          </w:tcPr>
          <w:p>
            <w:r>
              <w:rPr>
                <w:rFonts w:ascii="Calibri" w:hAnsi="Calibri"/>
                <w:sz w:val="22"/>
              </w:rPr>
              <w:t>SVP, CLO &amp; Secretary</w:t>
            </w:r>
          </w:p>
        </w:tc>
        <w:tc>
          <w:tcPr>
            <w:tcW w:type="dxa" w:w="1440"/>
          </w:tcPr>
          <w:p>
            <w:r>
              <w:rPr>
                <w:rFonts w:ascii="Calibri" w:hAnsi="Calibri"/>
                <w:sz w:val="22"/>
              </w:rPr>
              <w:t>Unit Conversion (C)</w:t>
            </w:r>
          </w:p>
        </w:tc>
        <w:tc>
          <w:tcPr>
            <w:tcW w:type="dxa" w:w="1440"/>
          </w:tcPr>
          <w:p>
            <w:r>
              <w:rPr>
                <w:rFonts w:ascii="Calibri" w:hAnsi="Calibri"/>
                <w:sz w:val="22"/>
              </w:rPr>
              <w:t>2,000</w:t>
            </w:r>
          </w:p>
        </w:tc>
        <w:tc>
          <w:tcPr>
            <w:tcW w:type="dxa" w:w="1440"/>
          </w:tcPr>
          <w:p>
            <w:r>
              <w:rPr>
                <w:rFonts w:ascii="Calibri" w:hAnsi="Calibri"/>
                <w:sz w:val="22"/>
              </w:rPr>
              <w:t>May 21, 2026</w:t>
            </w:r>
          </w:p>
        </w:tc>
        <w:tc>
          <w:tcPr>
            <w:tcW w:type="dxa" w:w="1440"/>
          </w:tcPr>
          <w:p>
            <w:r>
              <w:rPr>
                <w:rFonts w:ascii="Calibri" w:hAnsi="Calibri"/>
                <w:sz w:val="22"/>
              </w:rPr>
              <w:t>Conversion of Common OP Units; not an open-market sale</w:t>
            </w:r>
          </w:p>
        </w:tc>
      </w:tr>
      <w:tr>
        <w:tc>
          <w:tcPr>
            <w:tcW w:type="dxa" w:w="1440"/>
          </w:tcPr>
          <w:p>
            <w:r>
              <w:rPr>
                <w:rFonts w:ascii="Calibri" w:hAnsi="Calibri"/>
                <w:sz w:val="22"/>
              </w:rPr>
              <w:t>Multiple Directors (7)</w:t>
            </w:r>
          </w:p>
        </w:tc>
        <w:tc>
          <w:tcPr>
            <w:tcW w:type="dxa" w:w="1440"/>
          </w:tcPr>
          <w:p>
            <w:r>
              <w:rPr>
                <w:rFonts w:ascii="Calibri" w:hAnsi="Calibri"/>
                <w:sz w:val="22"/>
              </w:rPr>
              <w:t>Board of Directors</w:t>
            </w:r>
          </w:p>
        </w:tc>
        <w:tc>
          <w:tcPr>
            <w:tcW w:type="dxa" w:w="1440"/>
          </w:tcPr>
          <w:p>
            <w:r>
              <w:rPr>
                <w:rFonts w:ascii="Calibri" w:hAnsi="Calibri"/>
                <w:sz w:val="22"/>
              </w:rPr>
              <w:t>Phantom Stock Unit Accrual (A)</w:t>
            </w:r>
          </w:p>
        </w:tc>
        <w:tc>
          <w:tcPr>
            <w:tcW w:type="dxa" w:w="1440"/>
          </w:tcPr>
          <w:p>
            <w:r>
              <w:rPr>
                <w:rFonts w:ascii="Calibri" w:hAnsi="Calibri"/>
                <w:sz w:val="22"/>
              </w:rPr>
              <w:t>345–515 units each</w:t>
            </w:r>
          </w:p>
        </w:tc>
        <w:tc>
          <w:tcPr>
            <w:tcW w:type="dxa" w:w="1440"/>
          </w:tcPr>
          <w:p>
            <w:r>
              <w:rPr>
                <w:rFonts w:ascii="Calibri" w:hAnsi="Calibri"/>
                <w:sz w:val="22"/>
              </w:rPr>
              <w:t>June 30, 2026</w:t>
            </w:r>
          </w:p>
        </w:tc>
        <w:tc>
          <w:tcPr>
            <w:tcW w:type="dxa" w:w="1440"/>
          </w:tcPr>
          <w:p>
            <w:r>
              <w:rPr>
                <w:rFonts w:ascii="Calibri" w:hAnsi="Calibri"/>
                <w:sz w:val="22"/>
              </w:rPr>
              <w:t>Routine quarterly director compensation accrual; not discretionary</w:t>
            </w:r>
          </w:p>
        </w:tc>
      </w:tr>
      <w:tr>
        <w:tc>
          <w:tcPr>
            <w:tcW w:type="dxa" w:w="1440"/>
          </w:tcPr>
          <w:p>
            <w:r>
              <w:rPr>
                <w:rFonts w:ascii="Calibri" w:hAnsi="Calibri"/>
                <w:sz w:val="22"/>
              </w:rPr>
              <w:t>Multiple Directors (8)</w:t>
            </w:r>
          </w:p>
        </w:tc>
        <w:tc>
          <w:tcPr>
            <w:tcW w:type="dxa" w:w="1440"/>
          </w:tcPr>
          <w:p>
            <w:r>
              <w:rPr>
                <w:rFonts w:ascii="Calibri" w:hAnsi="Calibri"/>
                <w:sz w:val="22"/>
              </w:rPr>
              <w:t>Board of Directors</w:t>
            </w:r>
          </w:p>
        </w:tc>
        <w:tc>
          <w:tcPr>
            <w:tcW w:type="dxa" w:w="1440"/>
          </w:tcPr>
          <w:p>
            <w:r>
              <w:rPr>
                <w:rFonts w:ascii="Calibri" w:hAnsi="Calibri"/>
                <w:sz w:val="22"/>
              </w:rPr>
              <w:t>Annual LTIP/Equity Award (A)</w:t>
            </w:r>
          </w:p>
        </w:tc>
        <w:tc>
          <w:tcPr>
            <w:tcW w:type="dxa" w:w="1440"/>
          </w:tcPr>
          <w:p>
            <w:r>
              <w:rPr>
                <w:rFonts w:ascii="Calibri" w:hAnsi="Calibri"/>
                <w:sz w:val="22"/>
              </w:rPr>
              <w:t>1,666–3,332 units each</w:t>
            </w:r>
          </w:p>
        </w:tc>
        <w:tc>
          <w:tcPr>
            <w:tcW w:type="dxa" w:w="1440"/>
          </w:tcPr>
          <w:p>
            <w:r>
              <w:rPr>
                <w:rFonts w:ascii="Calibri" w:hAnsi="Calibri"/>
                <w:sz w:val="22"/>
              </w:rPr>
              <w:t>May 29, 2026</w:t>
            </w:r>
          </w:p>
        </w:tc>
        <w:tc>
          <w:tcPr>
            <w:tcW w:type="dxa" w:w="1440"/>
          </w:tcPr>
          <w:p>
            <w:r>
              <w:rPr>
                <w:rFonts w:ascii="Calibri" w:hAnsi="Calibri"/>
                <w:sz w:val="22"/>
              </w:rPr>
              <w:t>Annual director equity compensation grant; not discretionary</w:t>
            </w:r>
          </w:p>
        </w:tc>
      </w:tr>
    </w:tbl>
    <w:p>
      <w:r>
        <w:rPr>
          <w:rFonts w:ascii="Calibri" w:hAnsi="Calibri"/>
          <w:b/>
          <w:color w:val="525866"/>
          <w:sz w:val="22"/>
        </w:rPr>
        <w:t xml:space="preserve">Context: </w:t>
      </w:r>
      <w:r>
        <w:rPr>
          <w:rFonts w:ascii="Calibri" w:hAnsi="Calibri"/>
          <w:color w:val="525866"/>
          <w:sz w:val="22"/>
        </w:rPr>
        <w:t>Management has explicitly ruled out share repurchases despite viewing the stock as attractively valued relative to private market comparable sales. Capital is being directed to development at accretive yields and to deleveraging from current elevated leverage levels (~8.1x net debt/EBITDA). The absence of open-market buying by executives is therefore consistent with stated capital allocation priorities rather than a negative signal on the stock's prospects.</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