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p-earnings-predictions--2026-07-29"/>
    <w:p>
      <w:pPr>
        <w:pStyle w:val="Heading1"/>
      </w:pPr>
      <w:r>
        <w:t xml:space="preserve">BXP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~$1.72 vs. cons $1.707 (Visible Alpha, Jul.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~88.0% vs. cons 87.93% (Visible Alpha, Jul.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office 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~-1.30% vs. cons -1.56% (Visible Alpha, Jul.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6.90</m:t>
              </m:r>
              <m:r>
                <m:rPr>
                  <m:sty m:val="p"/>
                </m:rPr>
                <m:t>−</m:t>
              </m:r>
            </m:oMath>
            <w:r>
              <w:t xml:space="preserve">7.04 vs. cons $6.966 (BXP Apr. 28 release; Visible Alpha Jul.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FFO/share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1.75</m:t>
              </m:r>
              <m:r>
                <m:rPr>
                  <m:sty m:val="p"/>
                </m:rPr>
                <m:t>−</m:t>
              </m:r>
            </m:oMath>
            <w:r>
              <w:t xml:space="preserve">1.77 vs. cons $1.811 (Visible Alpha, Jul. 28,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exit occupancy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~89% exit; no comparable consensus,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343 Madison financing / recapitalization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Q3 loan close / 2026 recap; no consensus,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guide should drive near-term estimate cuts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2026-07-31T02:08:40Z</dcterms:created>
  <dcterms:modified xsi:type="dcterms:W3CDTF">2026-07-31T02:08:40Z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