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BXP, Inc. (BXP) — Q2 2026 Earnings Preview</w:t>
      </w:r>
    </w:p>
    <w:p>
      <w:r>
        <w:rPr>
          <w:rFonts w:ascii="Calibri" w:hAnsi="Calibri"/>
          <w:b/>
          <w:color w:val="525866"/>
          <w:sz w:val="22"/>
        </w:rPr>
        <w:t xml:space="preserve">Earnings Date: </w:t>
      </w:r>
      <w:r>
        <w:rPr>
          <w:rFonts w:ascii="Calibri" w:hAnsi="Calibri"/>
          <w:color w:val="525866"/>
          <w:sz w:val="22"/>
        </w:rPr>
        <w:t xml:space="preserve">July 29, 2026  </w:t>
      </w:r>
      <w:r>
        <w:rPr>
          <w:rFonts w:ascii="Calibri" w:hAnsi="Calibri"/>
          <w:b/>
          <w:color w:val="525866"/>
          <w:sz w:val="22"/>
        </w:rPr>
        <w:t xml:space="preserve">| Prepared: </w:t>
      </w:r>
      <w:r>
        <w:rPr>
          <w:rFonts w:ascii="Calibri" w:hAnsi="Calibri"/>
          <w:color w:val="525866"/>
          <w:sz w:val="22"/>
        </w:rPr>
        <w:t xml:space="preserve">July 28, 2026  </w:t>
      </w:r>
      <w:r>
        <w:rPr>
          <w:rFonts w:ascii="Calibri" w:hAnsi="Calibri"/>
          <w:b/>
          <w:color w:val="525866"/>
          <w:sz w:val="22"/>
        </w:rPr>
        <w:t xml:space="preserve">| Reporting Period: </w:t>
      </w:r>
      <w:r>
        <w:rPr>
          <w:rFonts w:ascii="Calibri" w:hAnsi="Calibri"/>
          <w:color w:val="525866"/>
          <w:sz w:val="22"/>
        </w:rPr>
        <w:t>Q2 2026 (quarter ended June 30,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2026 is constructive — consensus FFO of ~$1.71/share sits at the high end of management's $1.69–$1.71 guidance range, leaving a modest but achievable beat if leasing momentum and occupancy gains continue to track ahead of plan; the single biggest swing factor is whether the 800,000+ sq ft of Q2 leasing already executed translates into faster-than-expected rent commencement.</w:t>
      </w:r>
    </w:p>
    <w:p>
      <w:r>
        <w:rPr>
          <w:rFonts w:ascii="Calibri" w:hAnsi="Calibri"/>
          <w:color w:val="525866"/>
          <w:sz w:val="22"/>
        </w:rPr>
        <w:t xml:space="preserve">BXP heads into Q2 2026 earnings with the bar set at the top of its own guidance range, reflecting a market that has grown incrementally more confident in the occupancy recovery story following the Q1 beat and the June REITweek update. </w:t>
      </w:r>
      <w:r>
        <w:rPr>
          <w:rFonts w:ascii="Calibri" w:hAnsi="Calibri"/>
          <w:color w:val="525866"/>
          <w:sz w:val="22"/>
        </w:rPr>
        <w:t xml:space="preserve">Management raised full-year FFO guidance midpoint by $0.01 after Q1 and reaffirmed the 89% year-end occupancy target with higher conviction, citing over 800,000 sq ft of Q2 leasing already executed and a 2.3 million sq ft LOI pipeline as of early June. </w:t>
      </w:r>
      <w:r>
        <w:rPr>
          <w:rFonts w:ascii="Calibri" w:hAnsi="Calibri"/>
          <w:color w:val="525866"/>
          <w:sz w:val="22"/>
        </w:rPr>
        <w:t xml:space="preserve">Estimate revisions have been essentially flat since the Q1 print — the Q2 consensus of ~$1.71 is nearly unchanged from the $1.71 post-Q1 baseline — suggesting the street is waiting for execution proof rather than pre-positioning for upside. </w:t>
      </w:r>
      <w:r>
        <w:rPr>
          <w:rFonts w:ascii="Calibri" w:hAnsi="Calibri"/>
          <w:color w:val="525866"/>
          <w:sz w:val="22"/>
        </w:rPr>
        <w:t xml:space="preserve">The stock has rallied ~17% since the April 28 earnings date (from $59.16 to ~$69.21 as of July 28), outperforming IYR (+5%) and the S&amp;P 500 (+4%), with the move driven primarily by multiple expansion and improving sentiment around premier office fundamentals rather than estimate revisions. </w:t>
      </w:r>
      <w:r>
        <w:rPr>
          <w:rFonts w:ascii="Calibri" w:hAnsi="Calibri"/>
          <w:color w:val="525866"/>
          <w:sz w:val="22"/>
        </w:rPr>
        <w:t>The key wildcard is the 343 Madison Avenue construction financing close (targeted Q3 2026) and equity recapitalization — any update on timing or terms could meaningfully move the stock given the project's significance to the development pipeline and leverage trajectory.</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sits at the top of guidance for FFO/share (~$1.71 vs. $1.69–$1.71 guided), making the bar achievable but not easy; occupancy is the bigger swing factor — any acceleration toward the 89% year-end target would be the most positive signal for the 2027 earnings ramp.</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FFO per Share — Diluted ($)</w:t>
            </w:r>
          </w:p>
        </w:tc>
        <w:tc>
          <w:tcPr>
            <w:tcW w:type="dxa" w:w="1234"/>
          </w:tcPr>
          <w:p>
            <w:r>
              <w:rPr>
                <w:rFonts w:ascii="Calibri" w:hAnsi="Calibri"/>
                <w:sz w:val="22"/>
              </w:rPr>
              <w:t>$1.59</w:t>
            </w:r>
          </w:p>
        </w:tc>
        <w:tc>
          <w:tcPr>
            <w:tcW w:type="dxa" w:w="1234"/>
          </w:tcPr>
          <w:p>
            <w:r>
              <w:rPr>
                <w:rFonts w:ascii="Calibri" w:hAnsi="Calibri"/>
                <w:sz w:val="22"/>
              </w:rPr>
              <w:t>$1.71</w:t>
            </w:r>
          </w:p>
        </w:tc>
        <w:tc>
          <w:tcPr>
            <w:tcW w:type="dxa" w:w="1234"/>
          </w:tcPr>
          <w:p>
            <w:r>
              <w:rPr>
                <w:rFonts w:ascii="Calibri" w:hAnsi="Calibri"/>
                <w:sz w:val="22"/>
              </w:rPr>
              <w:t>$1.71</w:t>
            </w:r>
          </w:p>
        </w:tc>
        <w:tc>
          <w:tcPr>
            <w:tcW w:type="dxa" w:w="1234"/>
          </w:tcPr>
          <w:p>
            <w:r>
              <w:rPr>
                <w:rFonts w:ascii="Calibri" w:hAnsi="Calibri"/>
                <w:sz w:val="22"/>
              </w:rPr>
              <w:t>+0.0%</w:t>
            </w:r>
          </w:p>
        </w:tc>
        <w:tc>
          <w:tcPr>
            <w:tcW w:type="dxa" w:w="1234"/>
          </w:tcPr>
          <w:p>
            <w:r>
              <w:rPr>
                <w:rFonts w:ascii="Calibri" w:hAnsi="Calibri"/>
                <w:sz w:val="22"/>
              </w:rPr>
              <w:t>$1.69–$1.71</w:t>
            </w:r>
          </w:p>
        </w:tc>
        <w:tc>
          <w:tcPr>
            <w:tcW w:type="dxa" w:w="1234"/>
          </w:tcPr>
          <w:p>
            <w:r>
              <w:rPr>
                <w:rFonts w:ascii="Calibri" w:hAnsi="Calibri"/>
                <w:sz w:val="22"/>
              </w:rPr>
              <w:t>+0.6% vs. $1.70 mid</w:t>
            </w:r>
          </w:p>
        </w:tc>
      </w:tr>
      <w:tr>
        <w:tc>
          <w:tcPr>
            <w:tcW w:type="dxa" w:w="1234"/>
          </w:tcPr>
          <w:p>
            <w:r>
              <w:rPr>
                <w:rFonts w:ascii="Calibri" w:hAnsi="Calibri"/>
                <w:sz w:val="22"/>
              </w:rPr>
              <w:t>Occupancy Rate (%)</w:t>
            </w:r>
          </w:p>
        </w:tc>
        <w:tc>
          <w:tcPr>
            <w:tcW w:type="dxa" w:w="1234"/>
          </w:tcPr>
          <w:p>
            <w:r>
              <w:rPr>
                <w:rFonts w:ascii="Calibri" w:hAnsi="Calibri"/>
                <w:sz w:val="22"/>
              </w:rPr>
              <w:t>87.4%</w:t>
            </w:r>
          </w:p>
        </w:tc>
        <w:tc>
          <w:tcPr>
            <w:tcW w:type="dxa" w:w="1234"/>
          </w:tcPr>
          <w:p>
            <w:r>
              <w:rPr>
                <w:rFonts w:ascii="Calibri" w:hAnsi="Calibri"/>
                <w:sz w:val="22"/>
              </w:rPr>
              <w:t>86.4%</w:t>
            </w:r>
          </w:p>
        </w:tc>
        <w:tc>
          <w:tcPr>
            <w:tcW w:type="dxa" w:w="1234"/>
          </w:tcPr>
          <w:p>
            <w:r>
              <w:rPr>
                <w:rFonts w:ascii="Calibri" w:hAnsi="Calibri"/>
                <w:sz w:val="22"/>
              </w:rPr>
              <w:t>87.9%</w:t>
            </w:r>
          </w:p>
        </w:tc>
        <w:tc>
          <w:tcPr>
            <w:tcW w:type="dxa" w:w="1234"/>
          </w:tcPr>
          <w:p>
            <w:r>
              <w:rPr>
                <w:rFonts w:ascii="Calibri" w:hAnsi="Calibri"/>
                <w:sz w:val="22"/>
              </w:rPr>
              <w:t>+150 bps YoY</w:t>
            </w:r>
          </w:p>
        </w:tc>
        <w:tc>
          <w:tcPr>
            <w:tcW w:type="dxa" w:w="1234"/>
          </w:tcPr>
          <w:p>
            <w:r>
              <w:rPr>
                <w:rFonts w:ascii="Calibri" w:hAnsi="Calibri"/>
                <w:sz w:val="22"/>
              </w:rPr>
              <w:t>~88%+ (tracking to 89% YE)</w:t>
            </w:r>
          </w:p>
        </w:tc>
        <w:tc>
          <w:tcPr>
            <w:tcW w:type="dxa" w:w="1234"/>
          </w:tcPr>
          <w:p>
            <w:r>
              <w:rPr>
                <w:rFonts w:ascii="Calibri" w:hAnsi="Calibri"/>
                <w:sz w:val="22"/>
              </w:rPr>
              <w:t>N/A (no explicit Q2 occ. guidance)</w:t>
            </w:r>
          </w:p>
        </w:tc>
      </w:tr>
      <w:tr>
        <w:tc>
          <w:tcPr>
            <w:tcW w:type="dxa" w:w="1234"/>
          </w:tcPr>
          <w:p>
            <w:r>
              <w:rPr>
                <w:rFonts w:ascii="Calibri" w:hAnsi="Calibri"/>
                <w:sz w:val="22"/>
              </w:rPr>
              <w:t>Same-Store NOI Growth — Office YoY (%)</w:t>
            </w:r>
          </w:p>
        </w:tc>
        <w:tc>
          <w:tcPr>
            <w:tcW w:type="dxa" w:w="1234"/>
          </w:tcPr>
          <w:p>
            <w:r>
              <w:rPr>
                <w:rFonts w:ascii="Calibri" w:hAnsi="Calibri"/>
                <w:sz w:val="22"/>
              </w:rPr>
              <w:t>-1.0%</w:t>
            </w:r>
          </w:p>
        </w:tc>
        <w:tc>
          <w:tcPr>
            <w:tcW w:type="dxa" w:w="1234"/>
          </w:tcPr>
          <w:p>
            <w:r>
              <w:rPr>
                <w:rFonts w:ascii="Calibri" w:hAnsi="Calibri"/>
                <w:sz w:val="22"/>
              </w:rPr>
              <w:t>-0.1%</w:t>
            </w:r>
          </w:p>
        </w:tc>
        <w:tc>
          <w:tcPr>
            <w:tcW w:type="dxa" w:w="1234"/>
          </w:tcPr>
          <w:p>
            <w:r>
              <w:rPr>
                <w:rFonts w:ascii="Calibri" w:hAnsi="Calibri"/>
                <w:sz w:val="22"/>
              </w:rPr>
              <w:t>-1.6%</w:t>
            </w:r>
          </w:p>
        </w:tc>
        <w:tc>
          <w:tcPr>
            <w:tcW w:type="dxa" w:w="1234"/>
          </w:tcPr>
          <w:p>
            <w:r>
              <w:rPr>
                <w:rFonts w:ascii="Calibri" w:hAnsi="Calibri"/>
                <w:sz w:val="22"/>
              </w:rPr>
              <w:t>~-150 bps</w:t>
            </w:r>
          </w:p>
        </w:tc>
        <w:tc>
          <w:tcPr>
            <w:tcW w:type="dxa" w:w="1234"/>
          </w:tcPr>
          <w:p>
            <w:r>
              <w:rPr>
                <w:rFonts w:ascii="Calibri" w:hAnsi="Calibri"/>
                <w:sz w:val="22"/>
              </w:rPr>
              <w:t>FY 2026: +1.4% to +2.4%</w:t>
            </w:r>
          </w:p>
        </w:tc>
        <w:tc>
          <w:tcPr>
            <w:tcW w:type="dxa" w:w="1234"/>
          </w:tcPr>
          <w:p>
            <w:r>
              <w:rPr>
                <w:rFonts w:ascii="Calibri" w:hAnsi="Calibri"/>
                <w:sz w:val="22"/>
              </w:rPr>
              <w:t>Below FY guidance range</w:t>
            </w:r>
          </w:p>
        </w:tc>
      </w:tr>
      <w:tr>
        <w:tc>
          <w:tcPr>
            <w:tcW w:type="dxa" w:w="1234"/>
          </w:tcPr>
          <w:p>
            <w:r>
              <w:rPr>
                <w:rFonts w:ascii="Calibri" w:hAnsi="Calibri"/>
                <w:sz w:val="22"/>
              </w:rPr>
              <w:t>Total Revenues ($M)</w:t>
            </w:r>
          </w:p>
        </w:tc>
        <w:tc>
          <w:tcPr>
            <w:tcW w:type="dxa" w:w="1234"/>
          </w:tcPr>
          <w:p>
            <w:r>
              <w:rPr>
                <w:rFonts w:ascii="Calibri" w:hAnsi="Calibri"/>
                <w:sz w:val="22"/>
              </w:rPr>
              <w:t>$849.0M</w:t>
            </w:r>
          </w:p>
        </w:tc>
        <w:tc>
          <w:tcPr>
            <w:tcW w:type="dxa" w:w="1234"/>
          </w:tcPr>
          <w:p>
            <w:r>
              <w:rPr>
                <w:rFonts w:ascii="Calibri" w:hAnsi="Calibri"/>
                <w:sz w:val="22"/>
              </w:rPr>
              <w:t>$840.7M</w:t>
            </w:r>
          </w:p>
        </w:tc>
        <w:tc>
          <w:tcPr>
            <w:tcW w:type="dxa" w:w="1234"/>
          </w:tcPr>
          <w:p>
            <w:r>
              <w:rPr>
                <w:rFonts w:ascii="Calibri" w:hAnsi="Calibri"/>
                <w:sz w:val="22"/>
              </w:rPr>
              <w:t>$843.4M</w:t>
            </w:r>
          </w:p>
        </w:tc>
        <w:tc>
          <w:tcPr>
            <w:tcW w:type="dxa" w:w="1234"/>
          </w:tcPr>
          <w:p>
            <w:r>
              <w:rPr>
                <w:rFonts w:ascii="Calibri" w:hAnsi="Calibri"/>
                <w:sz w:val="22"/>
              </w:rPr>
              <w:t>+0.3% YoY</w:t>
            </w:r>
          </w:p>
        </w:tc>
        <w:tc>
          <w:tcPr>
            <w:tcW w:type="dxa" w:w="1234"/>
          </w:tcPr>
          <w:p>
            <w:r>
              <w:rPr>
                <w:rFonts w:ascii="Calibri" w:hAnsi="Calibri"/>
                <w:sz w:val="22"/>
              </w:rPr>
              <w:t>N/A (no explicit Q2 rev. guidance)</w:t>
            </w:r>
          </w:p>
        </w:tc>
        <w:tc>
          <w:tcPr>
            <w:tcW w:type="dxa" w:w="1234"/>
          </w:tcPr>
          <w:p>
            <w:r>
              <w:rPr>
                <w:rFonts w:ascii="Calibri" w:hAnsi="Calibri"/>
                <w:sz w:val="22"/>
              </w:rPr>
              <w:t>N/A</w:t>
            </w:r>
          </w:p>
        </w:tc>
      </w:tr>
      <w:tr>
        <w:tc>
          <w:tcPr>
            <w:tcW w:type="dxa" w:w="1234"/>
          </w:tcPr>
          <w:p>
            <w:r>
              <w:rPr>
                <w:rFonts w:ascii="Calibri" w:hAnsi="Calibri"/>
                <w:sz w:val="22"/>
              </w:rPr>
              <w:t>Interest Expense ($M)</w:t>
            </w:r>
          </w:p>
        </w:tc>
        <w:tc>
          <w:tcPr>
            <w:tcW w:type="dxa" w:w="1234"/>
          </w:tcPr>
          <w:p>
            <w:r>
              <w:rPr>
                <w:rFonts w:ascii="Calibri" w:hAnsi="Calibri"/>
                <w:sz w:val="22"/>
              </w:rPr>
              <w:t>$152.1M</w:t>
            </w:r>
          </w:p>
        </w:tc>
        <w:tc>
          <w:tcPr>
            <w:tcW w:type="dxa" w:w="1234"/>
          </w:tcPr>
          <w:p>
            <w:r>
              <w:rPr>
                <w:rFonts w:ascii="Calibri" w:hAnsi="Calibri"/>
                <w:sz w:val="22"/>
              </w:rPr>
              <w:t>$162.8M</w:t>
            </w:r>
          </w:p>
        </w:tc>
        <w:tc>
          <w:tcPr>
            <w:tcW w:type="dxa" w:w="1234"/>
          </w:tcPr>
          <w:p>
            <w:r>
              <w:rPr>
                <w:rFonts w:ascii="Calibri" w:hAnsi="Calibri"/>
                <w:sz w:val="22"/>
              </w:rPr>
              <w:t>$152.1M</w:t>
            </w:r>
          </w:p>
        </w:tc>
        <w:tc>
          <w:tcPr>
            <w:tcW w:type="dxa" w:w="1234"/>
          </w:tcPr>
          <w:p>
            <w:r>
              <w:rPr>
                <w:rFonts w:ascii="Calibri" w:hAnsi="Calibri"/>
                <w:sz w:val="22"/>
              </w:rPr>
              <w:t>-6.6% YoY</w:t>
            </w:r>
          </w:p>
        </w:tc>
        <w:tc>
          <w:tcPr>
            <w:tcW w:type="dxa" w:w="1234"/>
          </w:tcPr>
          <w:p>
            <w:r>
              <w:rPr>
                <w:rFonts w:ascii="Calibri" w:hAnsi="Calibri"/>
                <w:sz w:val="22"/>
              </w:rPr>
              <w:t>FY 2026 raised ~$10M vs. prior</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FFO per Share — Diluted: </w:t>
      </w:r>
      <w:r>
        <w:rPr>
          <w:rFonts w:ascii="Calibri" w:hAnsi="Calibri"/>
          <w:i/>
          <w:color w:val="525866"/>
          <w:sz w:val="22"/>
        </w:rPr>
        <w:t>https://insights.visiblealpha.com/mex/BXP_US/NMV/IS</w:t>
      </w:r>
      <w:r>
        <w:rPr>
          <w:rFonts w:ascii="Calibri" w:hAnsi="Calibri"/>
          <w:i/>
          <w:color w:val="525866"/>
          <w:sz w:val="22"/>
        </w:rPr>
        <w:t xml:space="preserve">. Occupancy Rate, Same-Store NOI Growth: </w:t>
      </w:r>
      <w:r>
        <w:rPr>
          <w:rFonts w:ascii="Calibri" w:hAnsi="Calibri"/>
          <w:i/>
          <w:color w:val="525866"/>
          <w:sz w:val="22"/>
        </w:rPr>
        <w:t>https://insights.visiblealpha.com/mex/BXP_US/NMV/OP</w:t>
      </w:r>
      <w:r>
        <w:rPr>
          <w:rFonts w:ascii="Calibri" w:hAnsi="Calibri"/>
          <w:i/>
          <w:color w:val="525866"/>
          <w:sz w:val="22"/>
        </w:rPr>
        <w:t xml:space="preserve">. Total Revenues, Interest Expense: </w:t>
      </w:r>
      <w:r>
        <w:rPr>
          <w:rFonts w:ascii="Calibri" w:hAnsi="Calibri"/>
          <w:i/>
          <w:color w:val="525866"/>
          <w:sz w:val="22"/>
        </w:rPr>
        <w:t>https://insights.visiblealpha.com/mex/BXP_US/NMV/IS</w:t>
      </w:r>
      <w:r>
        <w:rPr>
          <w:rFonts w:ascii="Calibri" w:hAnsi="Calibri"/>
          <w:i/>
          <w:color w:val="525866"/>
          <w:sz w:val="22"/>
        </w:rPr>
        <w:t>. Q2 2026 guidance from BXP Q1 2026 Earnings Release (April 28, 2026).</w:t>
      </w:r>
    </w:p>
    <w:p>
      <w:pPr>
        <w:pStyle w:val="Heading3"/>
      </w:pPr>
      <w:r>
        <w:rPr>
          <w:rFonts w:ascii="Calibri" w:hAnsi="Calibri"/>
          <w:b/>
          <w:color w:val="3B4259"/>
          <w:sz w:val="24"/>
        </w:rPr>
        <w:t>Table 2 — Beat/Miss History: Last 8 Quarters (Top 2 KPIs: FFO/Share &amp; Occupancy Rate)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FFO/Share</w:t>
            </w:r>
          </w:p>
        </w:tc>
        <w:tc>
          <w:tcPr>
            <w:tcW w:type="dxa" w:w="1440"/>
          </w:tcPr>
          <w:p>
            <w:r>
              <w:rPr>
                <w:rFonts w:ascii="Calibri" w:hAnsi="Calibri"/>
                <w:sz w:val="22"/>
              </w:rPr>
              <w:t>$1.59</w:t>
            </w:r>
          </w:p>
        </w:tc>
        <w:tc>
          <w:tcPr>
            <w:tcW w:type="dxa" w:w="1440"/>
          </w:tcPr>
          <w:p>
            <w:r>
              <w:rPr>
                <w:rFonts w:ascii="Calibri" w:hAnsi="Calibri"/>
                <w:sz w:val="22"/>
              </w:rPr>
              <w:t>$1.58</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Occupancy</w:t>
            </w:r>
          </w:p>
        </w:tc>
        <w:tc>
          <w:tcPr>
            <w:tcW w:type="dxa" w:w="1440"/>
          </w:tcPr>
          <w:p>
            <w:r>
              <w:rPr>
                <w:rFonts w:ascii="Calibri" w:hAnsi="Calibri"/>
                <w:sz w:val="22"/>
              </w:rPr>
              <w:t>87.4%</w:t>
            </w:r>
          </w:p>
        </w:tc>
        <w:tc>
          <w:tcPr>
            <w:tcW w:type="dxa" w:w="1440"/>
          </w:tcPr>
          <w:p>
            <w:r>
              <w:rPr>
                <w:rFonts w:ascii="Calibri" w:hAnsi="Calibri"/>
                <w:sz w:val="22"/>
              </w:rPr>
              <w:t>86.8%</w:t>
            </w:r>
          </w:p>
        </w:tc>
        <w:tc>
          <w:tcPr>
            <w:tcW w:type="dxa" w:w="1440"/>
          </w:tcPr>
          <w:p>
            <w:r>
              <w:rPr>
                <w:rFonts w:ascii="Calibri" w:hAnsi="Calibri"/>
                <w:b/>
                <w:color w:val="30A46C"/>
                <w:sz w:val="22"/>
              </w:rPr>
              <w:t>+60 bps</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FFO/Share</w:t>
            </w:r>
          </w:p>
        </w:tc>
        <w:tc>
          <w:tcPr>
            <w:tcW w:type="dxa" w:w="1440"/>
          </w:tcPr>
          <w:p>
            <w:r>
              <w:rPr>
                <w:rFonts w:ascii="Calibri" w:hAnsi="Calibri"/>
                <w:sz w:val="22"/>
              </w:rPr>
              <w:t>$1.76</w:t>
            </w:r>
          </w:p>
        </w:tc>
        <w:tc>
          <w:tcPr>
            <w:tcW w:type="dxa" w:w="1440"/>
          </w:tcPr>
          <w:p>
            <w:r>
              <w:rPr>
                <w:rFonts w:ascii="Calibri" w:hAnsi="Calibri"/>
                <w:sz w:val="22"/>
              </w:rPr>
              <w:t>$1.81</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Occupancy</w:t>
            </w:r>
          </w:p>
        </w:tc>
        <w:tc>
          <w:tcPr>
            <w:tcW w:type="dxa" w:w="1440"/>
          </w:tcPr>
          <w:p>
            <w:r>
              <w:rPr>
                <w:rFonts w:ascii="Calibri" w:hAnsi="Calibri"/>
                <w:sz w:val="22"/>
              </w:rPr>
              <w:t>86.7%</w:t>
            </w:r>
          </w:p>
        </w:tc>
        <w:tc>
          <w:tcPr>
            <w:tcW w:type="dxa" w:w="1440"/>
          </w:tcPr>
          <w:p>
            <w:r>
              <w:rPr>
                <w:rFonts w:ascii="Calibri" w:hAnsi="Calibri"/>
                <w:sz w:val="22"/>
              </w:rPr>
              <w:t>86.5%</w:t>
            </w:r>
          </w:p>
        </w:tc>
        <w:tc>
          <w:tcPr>
            <w:tcW w:type="dxa" w:w="1440"/>
          </w:tcPr>
          <w:p>
            <w:r>
              <w:rPr>
                <w:rFonts w:ascii="Calibri" w:hAnsi="Calibri"/>
                <w:b/>
                <w:color w:val="30A46C"/>
                <w:sz w:val="22"/>
              </w:rPr>
              <w:t>+20 bps</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FFO/Share</w:t>
            </w:r>
          </w:p>
        </w:tc>
        <w:tc>
          <w:tcPr>
            <w:tcW w:type="dxa" w:w="1440"/>
          </w:tcPr>
          <w:p>
            <w:r>
              <w:rPr>
                <w:rFonts w:ascii="Calibri" w:hAnsi="Calibri"/>
                <w:sz w:val="22"/>
              </w:rPr>
              <w:t>$1.74</w:t>
            </w:r>
          </w:p>
        </w:tc>
        <w:tc>
          <w:tcPr>
            <w:tcW w:type="dxa" w:w="1440"/>
          </w:tcPr>
          <w:p>
            <w:r>
              <w:rPr>
                <w:rFonts w:ascii="Calibri" w:hAnsi="Calibri"/>
                <w:sz w:val="22"/>
              </w:rPr>
              <w:t>$1.72</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Occupancy</w:t>
            </w:r>
          </w:p>
        </w:tc>
        <w:tc>
          <w:tcPr>
            <w:tcW w:type="dxa" w:w="1440"/>
          </w:tcPr>
          <w:p>
            <w:r>
              <w:rPr>
                <w:rFonts w:ascii="Calibri" w:hAnsi="Calibri"/>
                <w:sz w:val="22"/>
              </w:rPr>
              <w:t>86.0%</w:t>
            </w:r>
          </w:p>
        </w:tc>
        <w:tc>
          <w:tcPr>
            <w:tcW w:type="dxa" w:w="1440"/>
          </w:tcPr>
          <w:p>
            <w:r>
              <w:rPr>
                <w:rFonts w:ascii="Calibri" w:hAnsi="Calibri"/>
                <w:sz w:val="22"/>
              </w:rPr>
              <w:t>86.6%</w:t>
            </w:r>
          </w:p>
        </w:tc>
        <w:tc>
          <w:tcPr>
            <w:tcW w:type="dxa" w:w="1440"/>
          </w:tcPr>
          <w:p>
            <w:r>
              <w:rPr>
                <w:rFonts w:ascii="Calibri" w:hAnsi="Calibri"/>
                <w:b/>
                <w:color w:val="E5484D"/>
                <w:sz w:val="22"/>
              </w:rPr>
              <w:t>-60 bps</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FFO/Share</w:t>
            </w:r>
          </w:p>
        </w:tc>
        <w:tc>
          <w:tcPr>
            <w:tcW w:type="dxa" w:w="1440"/>
          </w:tcPr>
          <w:p>
            <w:r>
              <w:rPr>
                <w:rFonts w:ascii="Calibri" w:hAnsi="Calibri"/>
                <w:sz w:val="22"/>
              </w:rPr>
              <w:t>$1.71</w:t>
            </w:r>
          </w:p>
        </w:tc>
        <w:tc>
          <w:tcPr>
            <w:tcW w:type="dxa" w:w="1440"/>
          </w:tcPr>
          <w:p>
            <w:r>
              <w:rPr>
                <w:rFonts w:ascii="Calibri" w:hAnsi="Calibri"/>
                <w:sz w:val="22"/>
              </w:rPr>
              <w:t>$1.67</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Occupancy</w:t>
            </w:r>
          </w:p>
        </w:tc>
        <w:tc>
          <w:tcPr>
            <w:tcW w:type="dxa" w:w="1440"/>
          </w:tcPr>
          <w:p>
            <w:r>
              <w:rPr>
                <w:rFonts w:ascii="Calibri" w:hAnsi="Calibri"/>
                <w:sz w:val="22"/>
              </w:rPr>
              <w:t>86.4%</w:t>
            </w:r>
          </w:p>
        </w:tc>
        <w:tc>
          <w:tcPr>
            <w:tcW w:type="dxa" w:w="1440"/>
          </w:tcPr>
          <w:p>
            <w:r>
              <w:rPr>
                <w:rFonts w:ascii="Calibri" w:hAnsi="Calibri"/>
                <w:sz w:val="22"/>
              </w:rPr>
              <w:t>86.7%</w:t>
            </w:r>
          </w:p>
        </w:tc>
        <w:tc>
          <w:tcPr>
            <w:tcW w:type="dxa" w:w="1440"/>
          </w:tcPr>
          <w:p>
            <w:r>
              <w:rPr>
                <w:rFonts w:ascii="Calibri" w:hAnsi="Calibri"/>
                <w:b/>
                <w:color w:val="E5484D"/>
                <w:sz w:val="22"/>
              </w:rPr>
              <w:t>-30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FFO/Share</w:t>
            </w:r>
          </w:p>
        </w:tc>
        <w:tc>
          <w:tcPr>
            <w:tcW w:type="dxa" w:w="1440"/>
          </w:tcPr>
          <w:p>
            <w:r>
              <w:rPr>
                <w:rFonts w:ascii="Calibri" w:hAnsi="Calibri"/>
                <w:sz w:val="22"/>
              </w:rPr>
              <w:t>$1.64</w:t>
            </w:r>
          </w:p>
        </w:tc>
        <w:tc>
          <w:tcPr>
            <w:tcW w:type="dxa" w:w="1440"/>
          </w:tcPr>
          <w:p>
            <w:r>
              <w:rPr>
                <w:rFonts w:ascii="Calibri" w:hAnsi="Calibri"/>
                <w:sz w:val="22"/>
              </w:rPr>
              <w:t>$1.65</w:t>
            </w:r>
          </w:p>
        </w:tc>
        <w:tc>
          <w:tcPr>
            <w:tcW w:type="dxa" w:w="1440"/>
          </w:tcPr>
          <w:p>
            <w:r>
              <w:rPr>
                <w:rFonts w:ascii="Calibri" w:hAnsi="Calibri"/>
                <w:b/>
                <w:color w:val="E5484D"/>
                <w:sz w:val="22"/>
              </w:rPr>
              <w:t>-0.6%</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Occupancy</w:t>
            </w:r>
          </w:p>
        </w:tc>
        <w:tc>
          <w:tcPr>
            <w:tcW w:type="dxa" w:w="1440"/>
          </w:tcPr>
          <w:p>
            <w:r>
              <w:rPr>
                <w:rFonts w:ascii="Calibri" w:hAnsi="Calibri"/>
                <w:sz w:val="22"/>
              </w:rPr>
              <w:t>86.9%</w:t>
            </w:r>
          </w:p>
        </w:tc>
        <w:tc>
          <w:tcPr>
            <w:tcW w:type="dxa" w:w="1440"/>
          </w:tcPr>
          <w:p>
            <w:r>
              <w:rPr>
                <w:rFonts w:ascii="Calibri" w:hAnsi="Calibri"/>
                <w:sz w:val="22"/>
              </w:rPr>
              <w:t>87.2%</w:t>
            </w:r>
          </w:p>
        </w:tc>
        <w:tc>
          <w:tcPr>
            <w:tcW w:type="dxa" w:w="1440"/>
          </w:tcPr>
          <w:p>
            <w:r>
              <w:rPr>
                <w:rFonts w:ascii="Calibri" w:hAnsi="Calibri"/>
                <w:b/>
                <w:color w:val="E5484D"/>
                <w:sz w:val="22"/>
              </w:rPr>
              <w:t>-30 bps</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FFO/Share</w:t>
            </w:r>
          </w:p>
        </w:tc>
        <w:tc>
          <w:tcPr>
            <w:tcW w:type="dxa" w:w="1440"/>
          </w:tcPr>
          <w:p>
            <w:r>
              <w:rPr>
                <w:rFonts w:ascii="Calibri" w:hAnsi="Calibri"/>
                <w:sz w:val="22"/>
              </w:rPr>
              <w:t>$1.79</w:t>
            </w:r>
          </w:p>
        </w:tc>
        <w:tc>
          <w:tcPr>
            <w:tcW w:type="dxa" w:w="1440"/>
          </w:tcPr>
          <w:p>
            <w:r>
              <w:rPr>
                <w:rFonts w:ascii="Calibri" w:hAnsi="Calibri"/>
                <w:sz w:val="22"/>
              </w:rPr>
              <w:t>$1.79</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Occupancy</w:t>
            </w:r>
          </w:p>
        </w:tc>
        <w:tc>
          <w:tcPr>
            <w:tcW w:type="dxa" w:w="1440"/>
          </w:tcPr>
          <w:p>
            <w:r>
              <w:rPr>
                <w:rFonts w:ascii="Calibri" w:hAnsi="Calibri"/>
                <w:sz w:val="22"/>
              </w:rPr>
              <w:t>87.5%</w:t>
            </w:r>
          </w:p>
        </w:tc>
        <w:tc>
          <w:tcPr>
            <w:tcW w:type="dxa" w:w="1440"/>
          </w:tcPr>
          <w:p>
            <w:r>
              <w:rPr>
                <w:rFonts w:ascii="Calibri" w:hAnsi="Calibri"/>
                <w:sz w:val="22"/>
              </w:rPr>
              <w:t>87.2%</w:t>
            </w:r>
          </w:p>
        </w:tc>
        <w:tc>
          <w:tcPr>
            <w:tcW w:type="dxa" w:w="1440"/>
          </w:tcPr>
          <w:p>
            <w:r>
              <w:rPr>
                <w:rFonts w:ascii="Calibri" w:hAnsi="Calibri"/>
                <w:b/>
                <w:color w:val="30A46C"/>
                <w:sz w:val="22"/>
              </w:rPr>
              <w:t>+30 bps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FFO/Share</w:t>
            </w:r>
          </w:p>
        </w:tc>
        <w:tc>
          <w:tcPr>
            <w:tcW w:type="dxa" w:w="1440"/>
          </w:tcPr>
          <w:p>
            <w:r>
              <w:rPr>
                <w:rFonts w:ascii="Calibri" w:hAnsi="Calibri"/>
                <w:sz w:val="22"/>
              </w:rPr>
              <w:t>$1.81</w:t>
            </w:r>
          </w:p>
        </w:tc>
        <w:tc>
          <w:tcPr>
            <w:tcW w:type="dxa" w:w="1440"/>
          </w:tcPr>
          <w:p>
            <w:r>
              <w:rPr>
                <w:rFonts w:ascii="Calibri" w:hAnsi="Calibri"/>
                <w:sz w:val="22"/>
              </w:rPr>
              <w:t>$1.81</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Occupancy</w:t>
            </w:r>
          </w:p>
        </w:tc>
        <w:tc>
          <w:tcPr>
            <w:tcW w:type="dxa" w:w="1440"/>
          </w:tcPr>
          <w:p>
            <w:r>
              <w:rPr>
                <w:rFonts w:ascii="Calibri" w:hAnsi="Calibri"/>
                <w:sz w:val="22"/>
              </w:rPr>
              <w:t>87.0%</w:t>
            </w:r>
          </w:p>
        </w:tc>
        <w:tc>
          <w:tcPr>
            <w:tcW w:type="dxa" w:w="1440"/>
          </w:tcPr>
          <w:p>
            <w:r>
              <w:rPr>
                <w:rFonts w:ascii="Calibri" w:hAnsi="Calibri"/>
                <w:sz w:val="22"/>
              </w:rPr>
              <w:t>86.9%</w:t>
            </w:r>
          </w:p>
        </w:tc>
        <w:tc>
          <w:tcPr>
            <w:tcW w:type="dxa" w:w="1440"/>
          </w:tcPr>
          <w:p>
            <w:r>
              <w:rPr>
                <w:rFonts w:ascii="Calibri" w:hAnsi="Calibri"/>
                <w:b/>
                <w:color w:val="30A46C"/>
                <w:sz w:val="22"/>
              </w:rPr>
              <w:t>+10 bps</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BXP has beaten or matched FFO/share consensus in 5 of the last 8 quarters, with the most recent Q1 2026 beat driven by portfolio outperformance; occupancy has been more mixed, with beats concentrated in Q4 2024 and Q1 2026 as the leasing pipeline began converting to commencements. Source: Visible Alpha Consensus and Actuals Data (</w:t>
      </w:r>
      <w:r>
        <w:rPr>
          <w:rFonts w:ascii="Calibri" w:hAnsi="Calibri"/>
          <w:i/>
          <w:color w:val="525866"/>
          <w:sz w:val="22"/>
        </w:rPr>
        <w:t>https://insights.visiblealpha.com/mex/BXP_US/NMV/IS</w:t>
      </w:r>
      <w:r>
        <w:rPr>
          <w:rFonts w:ascii="Calibri" w:hAnsi="Calibri"/>
          <w:i/>
          <w:color w:val="525866"/>
          <w:sz w:val="22"/>
        </w:rPr>
        <w:t xml:space="preserve">; </w:t>
      </w:r>
      <w:r>
        <w:rPr>
          <w:rFonts w:ascii="Calibri" w:hAnsi="Calibri"/>
          <w:i/>
          <w:color w:val="525866"/>
          <w:sz w:val="22"/>
        </w:rPr>
        <w:t>https://insights.visiblealpha.com/mex/BXP_US/NMV/OP</w:t>
      </w:r>
      <w:r>
        <w:rPr>
          <w:rFonts w:ascii="Calibri" w:hAnsi="Calibri"/>
          <w:i/>
          <w:color w:val="525866"/>
          <w:sz w:val="22"/>
        </w:rPr>
        <w:t>).</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Guidance has been modestly raised since Q1 earnings — the FFO midpoint moved up $0.01 and occupancy outlook improved 25 bps — while tone has shifted from cautious to confident, with management explicitly stating the 89% year-end occupancy target is “achievable and more likely” than at Investor Day.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FFO/Share</w:t>
            </w:r>
          </w:p>
        </w:tc>
        <w:tc>
          <w:tcPr>
            <w:tcW w:type="dxa" w:w="1728"/>
          </w:tcPr>
          <w:p>
            <w:r>
              <w:rPr>
                <w:rFonts w:ascii="Calibri" w:hAnsi="Calibri"/>
                <w:sz w:val="22"/>
              </w:rPr>
              <w:t>$1.69–$1.71</w:t>
            </w:r>
          </w:p>
        </w:tc>
        <w:tc>
          <w:tcPr>
            <w:tcW w:type="dxa" w:w="1728"/>
          </w:tcPr>
          <w:p>
            <w:r>
              <w:rPr>
                <w:rFonts w:ascii="Calibri" w:hAnsi="Calibri"/>
                <w:sz w:val="22"/>
              </w:rPr>
              <w:t>—</w:t>
            </w:r>
          </w:p>
        </w:tc>
        <w:tc>
          <w:tcPr>
            <w:tcW w:type="dxa" w:w="1728"/>
          </w:tcPr>
          <w:p>
            <w:r>
              <w:rPr>
                <w:rFonts w:ascii="Calibri" w:hAnsi="Calibri"/>
                <w:sz w:val="22"/>
              </w:rPr>
              <w:t>$1.71</w:t>
            </w:r>
          </w:p>
        </w:tc>
        <w:tc>
          <w:tcPr>
            <w:tcW w:type="dxa" w:w="1728"/>
          </w:tcPr>
          <w:p>
            <w:r>
              <w:rPr>
                <w:rFonts w:ascii="Calibri" w:hAnsi="Calibri"/>
                <w:sz w:val="22"/>
              </w:rPr>
              <w:t>Unchanged; consensus at top of range</w:t>
            </w:r>
          </w:p>
        </w:tc>
      </w:tr>
      <w:tr>
        <w:tc>
          <w:tcPr>
            <w:tcW w:type="dxa" w:w="1728"/>
          </w:tcPr>
          <w:p>
            <w:r>
              <w:rPr>
                <w:rFonts w:ascii="Calibri" w:hAnsi="Calibri"/>
                <w:sz w:val="22"/>
              </w:rPr>
              <w:t>FY 2026 FFO/Share</w:t>
            </w:r>
          </w:p>
        </w:tc>
        <w:tc>
          <w:tcPr>
            <w:tcW w:type="dxa" w:w="1728"/>
          </w:tcPr>
          <w:p>
            <w:r>
              <w:rPr>
                <w:rFonts w:ascii="Calibri" w:hAnsi="Calibri"/>
                <w:sz w:val="22"/>
              </w:rPr>
              <w:t>$6.90–$7.04 (mid: $6.97)</w:t>
            </w:r>
          </w:p>
        </w:tc>
        <w:tc>
          <w:tcPr>
            <w:tcW w:type="dxa" w:w="1728"/>
          </w:tcPr>
          <w:p>
            <w:r>
              <w:rPr>
                <w:rFonts w:ascii="Calibri" w:hAnsi="Calibri"/>
                <w:sz w:val="22"/>
              </w:rPr>
              <w:t>—</w:t>
            </w:r>
          </w:p>
        </w:tc>
        <w:tc>
          <w:tcPr>
            <w:tcW w:type="dxa" w:w="1728"/>
          </w:tcPr>
          <w:p>
            <w:r>
              <w:rPr>
                <w:rFonts w:ascii="Calibri" w:hAnsi="Calibri"/>
                <w:sz w:val="22"/>
              </w:rPr>
              <w:t>$6.97</w:t>
            </w:r>
          </w:p>
        </w:tc>
        <w:tc>
          <w:tcPr>
            <w:tcW w:type="dxa" w:w="1728"/>
          </w:tcPr>
          <w:p>
            <w:r>
              <w:rPr>
                <w:rFonts w:ascii="Calibri" w:hAnsi="Calibri"/>
                <w:sz w:val="22"/>
              </w:rPr>
              <w:t>Raised $0.01 at midpoint vs. prior guidance; portfolio outperformance + higher termination income offset by higher interest expense</w:t>
            </w:r>
          </w:p>
        </w:tc>
      </w:tr>
      <w:tr>
        <w:tc>
          <w:tcPr>
            <w:tcW w:type="dxa" w:w="1728"/>
          </w:tcPr>
          <w:p>
            <w:r>
              <w:rPr>
                <w:rFonts w:ascii="Calibri" w:hAnsi="Calibri"/>
                <w:sz w:val="22"/>
              </w:rPr>
              <w:t>FY 2026 Avg. Occupancy</w:t>
            </w:r>
          </w:p>
        </w:tc>
        <w:tc>
          <w:tcPr>
            <w:tcW w:type="dxa" w:w="1728"/>
          </w:tcPr>
          <w:p>
            <w:r>
              <w:rPr>
                <w:rFonts w:ascii="Calibri" w:hAnsi="Calibri"/>
                <w:sz w:val="22"/>
              </w:rPr>
              <w:t>88.25% avg.; 89% YE target</w:t>
            </w:r>
          </w:p>
        </w:tc>
        <w:tc>
          <w:tcPr>
            <w:tcW w:type="dxa" w:w="1728"/>
          </w:tcPr>
          <w:p>
            <w:r>
              <w:rPr>
                <w:rFonts w:ascii="Calibri" w:hAnsi="Calibri"/>
                <w:sz w:val="22"/>
              </w:rPr>
              <w:t>—</w:t>
            </w:r>
          </w:p>
        </w:tc>
        <w:tc>
          <w:tcPr>
            <w:tcW w:type="dxa" w:w="1728"/>
          </w:tcPr>
          <w:p>
            <w:r>
              <w:rPr>
                <w:rFonts w:ascii="Calibri" w:hAnsi="Calibri"/>
                <w:sz w:val="22"/>
              </w:rPr>
              <w:t>88.6% (FY consensus)</w:t>
            </w:r>
          </w:p>
        </w:tc>
        <w:tc>
          <w:tcPr>
            <w:tcW w:type="dxa" w:w="1728"/>
          </w:tcPr>
          <w:p>
            <w:r>
              <w:rPr>
                <w:rFonts w:ascii="Calibri" w:hAnsi="Calibri"/>
                <w:sz w:val="22"/>
              </w:rPr>
              <w:t>↑ Raised 25 bps at Q1 earnings; management more confident in 89% YE target</w:t>
            </w:r>
          </w:p>
        </w:tc>
      </w:tr>
      <w:tr>
        <w:tc>
          <w:tcPr>
            <w:tcW w:type="dxa" w:w="1728"/>
          </w:tcPr>
          <w:p>
            <w:r>
              <w:rPr>
                <w:rFonts w:ascii="Calibri" w:hAnsi="Calibri"/>
                <w:sz w:val="22"/>
              </w:rPr>
              <w:t>FY 2026 Same-Store NOI Growth</w:t>
            </w:r>
          </w:p>
        </w:tc>
        <w:tc>
          <w:tcPr>
            <w:tcW w:type="dxa" w:w="1728"/>
          </w:tcPr>
          <w:p>
            <w:r>
              <w:rPr>
                <w:rFonts w:ascii="Calibri" w:hAnsi="Calibri"/>
                <w:sz w:val="22"/>
              </w:rPr>
              <w:t>+1.4% to +2.4% (GAAP, ex-termination income)</w:t>
            </w:r>
          </w:p>
        </w:tc>
        <w:tc>
          <w:tcPr>
            <w:tcW w:type="dxa" w:w="1728"/>
          </w:tcPr>
          <w:p>
            <w:r>
              <w:rPr>
                <w:rFonts w:ascii="Calibri" w:hAnsi="Calibri"/>
                <w:sz w:val="22"/>
              </w:rPr>
              <w:t>—</w:t>
            </w:r>
          </w:p>
        </w:tc>
        <w:tc>
          <w:tcPr>
            <w:tcW w:type="dxa" w:w="1728"/>
          </w:tcPr>
          <w:p>
            <w:r>
              <w:rPr>
                <w:rFonts w:ascii="Calibri" w:hAnsi="Calibri"/>
                <w:sz w:val="22"/>
              </w:rPr>
              <w:t>+0.1% (FY consensus)</w:t>
            </w:r>
          </w:p>
        </w:tc>
        <w:tc>
          <w:tcPr>
            <w:tcW w:type="dxa" w:w="1728"/>
          </w:tcPr>
          <w:p>
            <w:r>
              <w:rPr>
                <w:rFonts w:ascii="Calibri" w:hAnsi="Calibri"/>
                <w:sz w:val="22"/>
              </w:rPr>
              <w:t>Raised 15 bps at Q1 earnings; cash basis reduced 25 bps due to early renewals with free rent periods</w:t>
            </w:r>
          </w:p>
        </w:tc>
      </w:tr>
      <w:tr>
        <w:tc>
          <w:tcPr>
            <w:tcW w:type="dxa" w:w="1728"/>
          </w:tcPr>
          <w:p>
            <w:r>
              <w:rPr>
                <w:rFonts w:ascii="Calibri" w:hAnsi="Calibri"/>
                <w:sz w:val="22"/>
              </w:rPr>
              <w:t>FY 2026 Net Interest Expense</w:t>
            </w:r>
          </w:p>
        </w:tc>
        <w:tc>
          <w:tcPr>
            <w:tcW w:type="dxa" w:w="1728"/>
          </w:tcPr>
          <w:p>
            <w:r>
              <w:rPr>
                <w:rFonts w:ascii="Calibri" w:hAnsi="Calibri"/>
                <w:sz w:val="22"/>
              </w:rPr>
              <w:t>Raised ~$10M vs. prior guidance</w:t>
            </w:r>
          </w:p>
        </w:tc>
        <w:tc>
          <w:tcPr>
            <w:tcW w:type="dxa" w:w="1728"/>
          </w:tcPr>
          <w:p>
            <w:r>
              <w:rPr>
                <w:rFonts w:ascii="Calibri" w:hAnsi="Calibri"/>
                <w:sz w:val="22"/>
              </w:rPr>
              <w:t>—</w:t>
            </w:r>
          </w:p>
        </w:tc>
        <w:tc>
          <w:tcPr>
            <w:tcW w:type="dxa" w:w="1728"/>
          </w:tcPr>
          <w:p>
            <w:r>
              <w:rPr>
                <w:rFonts w:ascii="Calibri" w:hAnsi="Calibri"/>
                <w:sz w:val="22"/>
              </w:rPr>
              <w:t>$613.6M (FY consensus)</w:t>
            </w:r>
          </w:p>
        </w:tc>
        <w:tc>
          <w:tcPr>
            <w:tcW w:type="dxa" w:w="1728"/>
          </w:tcPr>
          <w:p>
            <w:r>
              <w:rPr>
                <w:rFonts w:ascii="Calibri" w:hAnsi="Calibri"/>
                <w:sz w:val="22"/>
              </w:rPr>
              <w:t>↑ Raised at Q1 earnings; early 290 Binney delivery + flat SOFR assumption for rest of 2026</w:t>
            </w:r>
          </w:p>
        </w:tc>
      </w:tr>
      <w:tr>
        <w:tc>
          <w:tcPr>
            <w:tcW w:type="dxa" w:w="1728"/>
          </w:tcPr>
          <w:p>
            <w:r>
              <w:rPr>
                <w:rFonts w:ascii="Calibri" w:hAnsi="Calibri"/>
                <w:sz w:val="22"/>
              </w:rPr>
              <w:t>FY 2026 Leasing CapEx</w:t>
            </w:r>
          </w:p>
        </w:tc>
        <w:tc>
          <w:tcPr>
            <w:tcW w:type="dxa" w:w="1728"/>
          </w:tcPr>
          <w:p>
            <w:r>
              <w:rPr>
                <w:rFonts w:ascii="Calibri" w:hAnsi="Calibri"/>
                <w:sz w:val="22"/>
              </w:rPr>
              <w:t>"In excess of $400M" (vs. prior $220–$250M)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 Sharply raised at Q1 earnings; unusually high Q1 lease commencements drove elevated CapEx; FAD pressure expected through year</w:t>
            </w:r>
          </w:p>
        </w:tc>
      </w:tr>
    </w:tbl>
    <w:p>
      <w:r>
        <w:rPr>
          <w:rFonts w:ascii="Calibri" w:hAnsi="Calibri"/>
          <w:i/>
          <w:color w:val="525866"/>
          <w:sz w:val="22"/>
        </w:rPr>
        <w:t>Source: BXP Q1 2026 Earnings Release and Earnings Call Transcript (April 28–29, 2026); BXP Nareit REITweek Investor Conference Transcript (June 2, 2026); Visible Alpha Consensus Data (</w:t>
      </w:r>
      <w:r>
        <w:rPr>
          <w:rFonts w:ascii="Calibri" w:hAnsi="Calibri"/>
          <w:i/>
          <w:color w:val="525866"/>
          <w:sz w:val="22"/>
        </w:rPr>
        <w:t>https://insights.visiblealpha.com/mex/BXP_US/NMV/IS</w:t>
      </w:r>
      <w:r>
        <w:rPr>
          <w:rFonts w:ascii="Calibri" w:hAnsi="Calibri"/>
          <w:i/>
          <w:color w:val="525866"/>
          <w:sz w:val="22"/>
        </w:rPr>
        <w:t xml:space="preserve">; </w:t>
      </w:r>
      <w:r>
        <w:rPr>
          <w:rFonts w:ascii="Calibri" w:hAnsi="Calibri"/>
          <w:i/>
          <w:color w:val="525866"/>
          <w:sz w:val="22"/>
        </w:rPr>
        <w:t>https://insights.visiblealpha.com/mex/BXP_US/NMV/OP</w:t>
      </w:r>
      <w:r>
        <w:rPr>
          <w:rFonts w:ascii="Calibri" w:hAnsi="Calibri"/>
          <w:i/>
          <w:color w:val="525866"/>
          <w:sz w:val="22"/>
        </w:rPr>
        <w:t>).</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Q2 FFO consensus is unchanged at $1.71 and FY 2026 consensus is unchanged at $6.97 — indicating the street is tracking guidance precisely with no incremental cushion or risk embedded; the gap between guidance and consensus is minimal, leaving execution as the primary driver of any Q2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FFO/Share — Q2 2026</w:t>
            </w:r>
          </w:p>
        </w:tc>
        <w:tc>
          <w:tcPr>
            <w:tcW w:type="dxa" w:w="1080"/>
          </w:tcPr>
          <w:p>
            <w:r>
              <w:rPr>
                <w:rFonts w:ascii="Calibri" w:hAnsi="Calibri"/>
                <w:sz w:val="22"/>
              </w:rPr>
              <w:t>$1.71</w:t>
            </w:r>
          </w:p>
        </w:tc>
        <w:tc>
          <w:tcPr>
            <w:tcW w:type="dxa" w:w="1080"/>
          </w:tcPr>
          <w:p>
            <w:r>
              <w:rPr>
                <w:rFonts w:ascii="Calibri" w:hAnsi="Calibri"/>
                <w:sz w:val="22"/>
              </w:rPr>
              <w:t>$1.71</w:t>
            </w:r>
          </w:p>
        </w:tc>
        <w:tc>
          <w:tcPr>
            <w:tcW w:type="dxa" w:w="1080"/>
          </w:tcPr>
          <w:p>
            <w:r>
              <w:rPr>
                <w:rFonts w:ascii="Calibri" w:hAnsi="Calibri"/>
                <w:sz w:val="22"/>
              </w:rPr>
              <w:t>0.0%</w:t>
            </w:r>
          </w:p>
        </w:tc>
        <w:tc>
          <w:tcPr>
            <w:tcW w:type="dxa" w:w="1080"/>
          </w:tcPr>
          <w:p>
            <w:r>
              <w:rPr>
                <w:rFonts w:ascii="Calibri" w:hAnsi="Calibri"/>
                <w:sz w:val="22"/>
              </w:rPr>
              <w:t>$1.69–$1.71</w:t>
            </w:r>
          </w:p>
        </w:tc>
        <w:tc>
          <w:tcPr>
            <w:tcW w:type="dxa" w:w="1080"/>
          </w:tcPr>
          <w:p>
            <w:r>
              <w:rPr>
                <w:rFonts w:ascii="Calibri" w:hAnsi="Calibri"/>
                <w:sz w:val="22"/>
              </w:rPr>
              <w:t>$1.69–$1.71 (unchanged)</w:t>
            </w:r>
          </w:p>
        </w:tc>
        <w:tc>
          <w:tcPr>
            <w:tcW w:type="dxa" w:w="1080"/>
          </w:tcPr>
          <w:p>
            <w:r>
              <w:rPr>
                <w:rFonts w:ascii="Calibri" w:hAnsi="Calibri"/>
                <w:sz w:val="22"/>
              </w:rPr>
              <w:t>0.0%</w:t>
            </w:r>
          </w:p>
        </w:tc>
        <w:tc>
          <w:tcPr>
            <w:tcW w:type="dxa" w:w="1080"/>
          </w:tcPr>
          <w:p>
            <w:r>
              <w:rPr>
                <w:rFonts w:ascii="Calibri" w:hAnsi="Calibri"/>
                <w:sz w:val="22"/>
              </w:rPr>
              <w:t>+0.6% vs. $1.70 mid</w:t>
            </w:r>
          </w:p>
        </w:tc>
      </w:tr>
      <w:tr>
        <w:tc>
          <w:tcPr>
            <w:tcW w:type="dxa" w:w="1080"/>
          </w:tcPr>
          <w:p>
            <w:r>
              <w:rPr>
                <w:rFonts w:ascii="Calibri" w:hAnsi="Calibri"/>
                <w:sz w:val="22"/>
              </w:rPr>
              <w:t>FFO/Share — FY 2026</w:t>
            </w:r>
          </w:p>
        </w:tc>
        <w:tc>
          <w:tcPr>
            <w:tcW w:type="dxa" w:w="1080"/>
          </w:tcPr>
          <w:p>
            <w:r>
              <w:rPr>
                <w:rFonts w:ascii="Calibri" w:hAnsi="Calibri"/>
                <w:sz w:val="22"/>
              </w:rPr>
              <w:t>$6.97</w:t>
            </w:r>
          </w:p>
        </w:tc>
        <w:tc>
          <w:tcPr>
            <w:tcW w:type="dxa" w:w="1080"/>
          </w:tcPr>
          <w:p>
            <w:r>
              <w:rPr>
                <w:rFonts w:ascii="Calibri" w:hAnsi="Calibri"/>
                <w:sz w:val="22"/>
              </w:rPr>
              <w:t>$6.97</w:t>
            </w:r>
          </w:p>
        </w:tc>
        <w:tc>
          <w:tcPr>
            <w:tcW w:type="dxa" w:w="1080"/>
          </w:tcPr>
          <w:p>
            <w:r>
              <w:rPr>
                <w:rFonts w:ascii="Calibri" w:hAnsi="Calibri"/>
                <w:sz w:val="22"/>
              </w:rPr>
              <w:t>0.0%</w:t>
            </w:r>
          </w:p>
        </w:tc>
        <w:tc>
          <w:tcPr>
            <w:tcW w:type="dxa" w:w="1080"/>
          </w:tcPr>
          <w:p>
            <w:r>
              <w:rPr>
                <w:rFonts w:ascii="Calibri" w:hAnsi="Calibri"/>
                <w:sz w:val="22"/>
              </w:rPr>
              <w:t>$6.90–$7.04</w:t>
            </w:r>
          </w:p>
        </w:tc>
        <w:tc>
          <w:tcPr>
            <w:tcW w:type="dxa" w:w="1080"/>
          </w:tcPr>
          <w:p>
            <w:r>
              <w:rPr>
                <w:rFonts w:ascii="Calibri" w:hAnsi="Calibri"/>
                <w:sz w:val="22"/>
              </w:rPr>
              <w:t>$6.90–$7.04 (unchanged)</w:t>
            </w:r>
          </w:p>
        </w:tc>
        <w:tc>
          <w:tcPr>
            <w:tcW w:type="dxa" w:w="1080"/>
          </w:tcPr>
          <w:p>
            <w:r>
              <w:rPr>
                <w:rFonts w:ascii="Calibri" w:hAnsi="Calibri"/>
                <w:sz w:val="22"/>
              </w:rPr>
              <w:t>0.0%</w:t>
            </w:r>
          </w:p>
        </w:tc>
        <w:tc>
          <w:tcPr>
            <w:tcW w:type="dxa" w:w="1080"/>
          </w:tcPr>
          <w:p>
            <w:r>
              <w:rPr>
                <w:rFonts w:ascii="Calibri" w:hAnsi="Calibri"/>
                <w:sz w:val="22"/>
              </w:rPr>
              <w:t>0.0% vs. $6.97 mid</w:t>
            </w:r>
          </w:p>
        </w:tc>
      </w:tr>
      <w:tr>
        <w:tc>
          <w:tcPr>
            <w:tcW w:type="dxa" w:w="1080"/>
          </w:tcPr>
          <w:p>
            <w:r>
              <w:rPr>
                <w:rFonts w:ascii="Calibri" w:hAnsi="Calibri"/>
                <w:sz w:val="22"/>
              </w:rPr>
              <w:t>Occupancy Rate — Q2 2026</w:t>
            </w:r>
          </w:p>
        </w:tc>
        <w:tc>
          <w:tcPr>
            <w:tcW w:type="dxa" w:w="1080"/>
          </w:tcPr>
          <w:p>
            <w:r>
              <w:rPr>
                <w:rFonts w:ascii="Calibri" w:hAnsi="Calibri"/>
                <w:sz w:val="22"/>
              </w:rPr>
              <w:t>87.8%</w:t>
            </w:r>
          </w:p>
        </w:tc>
        <w:tc>
          <w:tcPr>
            <w:tcW w:type="dxa" w:w="1080"/>
          </w:tcPr>
          <w:p>
            <w:r>
              <w:rPr>
                <w:rFonts w:ascii="Calibri" w:hAnsi="Calibri"/>
                <w:sz w:val="22"/>
              </w:rPr>
              <w:t>87.9%</w:t>
            </w:r>
          </w:p>
        </w:tc>
        <w:tc>
          <w:tcPr>
            <w:tcW w:type="dxa" w:w="1080"/>
          </w:tcPr>
          <w:p>
            <w:r>
              <w:rPr>
                <w:rFonts w:ascii="Calibri" w:hAnsi="Calibri"/>
                <w:sz w:val="22"/>
              </w:rPr>
              <w:t>+0.1%</w:t>
            </w:r>
          </w:p>
        </w:tc>
        <w:tc>
          <w:tcPr>
            <w:tcW w:type="dxa" w:w="1080"/>
          </w:tcPr>
          <w:p>
            <w:r>
              <w:rPr>
                <w:rFonts w:ascii="Calibri" w:hAnsi="Calibri"/>
                <w:sz w:val="22"/>
              </w:rPr>
              <w:t>~88%+ (tracking to 89% YE)</w:t>
            </w:r>
          </w:p>
        </w:tc>
        <w:tc>
          <w:tcPr>
            <w:tcW w:type="dxa" w:w="1080"/>
          </w:tcPr>
          <w:p>
            <w:r>
              <w:rPr>
                <w:rFonts w:ascii="Calibri" w:hAnsi="Calibri"/>
                <w:sz w:val="22"/>
              </w:rPr>
              <w:t>Unchanged</w:t>
            </w:r>
          </w:p>
        </w:tc>
        <w:tc>
          <w:tcPr>
            <w:tcW w:type="dxa" w:w="1080"/>
          </w:tcPr>
          <w:p>
            <w:r>
              <w:rPr>
                <w:rFonts w:ascii="Calibri" w:hAnsi="Calibri"/>
                <w:sz w:val="22"/>
              </w:rPr>
              <w:t>0.0%</w:t>
            </w:r>
          </w:p>
        </w:tc>
        <w:tc>
          <w:tcPr>
            <w:tcW w:type="dxa" w:w="1080"/>
          </w:tcPr>
          <w:p>
            <w:r>
              <w:rPr>
                <w:rFonts w:ascii="Calibri" w:hAnsi="Calibri"/>
                <w:sz w:val="22"/>
              </w:rPr>
              <w:t>N/A</w:t>
            </w:r>
          </w:p>
        </w:tc>
      </w:tr>
      <w:tr>
        <w:tc>
          <w:tcPr>
            <w:tcW w:type="dxa" w:w="1080"/>
          </w:tcPr>
          <w:p>
            <w:r>
              <w:rPr>
                <w:rFonts w:ascii="Calibri" w:hAnsi="Calibri"/>
                <w:sz w:val="22"/>
              </w:rPr>
              <w:t>Occupancy Rate — FY 2026</w:t>
            </w:r>
          </w:p>
        </w:tc>
        <w:tc>
          <w:tcPr>
            <w:tcW w:type="dxa" w:w="1080"/>
          </w:tcPr>
          <w:p>
            <w:r>
              <w:rPr>
                <w:rFonts w:ascii="Calibri" w:hAnsi="Calibri"/>
                <w:sz w:val="22"/>
              </w:rPr>
              <w:t>88.2%</w:t>
            </w:r>
          </w:p>
        </w:tc>
        <w:tc>
          <w:tcPr>
            <w:tcW w:type="dxa" w:w="1080"/>
          </w:tcPr>
          <w:p>
            <w:r>
              <w:rPr>
                <w:rFonts w:ascii="Calibri" w:hAnsi="Calibri"/>
                <w:sz w:val="22"/>
              </w:rPr>
              <w:t>88.6%</w:t>
            </w:r>
          </w:p>
        </w:tc>
        <w:tc>
          <w:tcPr>
            <w:tcW w:type="dxa" w:w="1080"/>
          </w:tcPr>
          <w:p>
            <w:r>
              <w:rPr>
                <w:rFonts w:ascii="Calibri" w:hAnsi="Calibri"/>
                <w:sz w:val="22"/>
              </w:rPr>
              <w:t>+0.5%</w:t>
            </w:r>
          </w:p>
        </w:tc>
        <w:tc>
          <w:tcPr>
            <w:tcW w:type="dxa" w:w="1080"/>
          </w:tcPr>
          <w:p>
            <w:r>
              <w:rPr>
                <w:rFonts w:ascii="Calibri" w:hAnsi="Calibri"/>
                <w:sz w:val="22"/>
              </w:rPr>
              <w:t>88.25% avg.; 89% YE</w:t>
            </w:r>
          </w:p>
        </w:tc>
        <w:tc>
          <w:tcPr>
            <w:tcW w:type="dxa" w:w="1080"/>
          </w:tcPr>
          <w:p>
            <w:r>
              <w:rPr>
                <w:rFonts w:ascii="Calibri" w:hAnsi="Calibri"/>
                <w:sz w:val="22"/>
              </w:rPr>
              <w:t>Unchanged</w:t>
            </w:r>
          </w:p>
        </w:tc>
        <w:tc>
          <w:tcPr>
            <w:tcW w:type="dxa" w:w="1080"/>
          </w:tcPr>
          <w:p>
            <w:r>
              <w:rPr>
                <w:rFonts w:ascii="Calibri" w:hAnsi="Calibri"/>
                <w:sz w:val="22"/>
              </w:rPr>
              <w:t>0.0%</w:t>
            </w:r>
          </w:p>
        </w:tc>
        <w:tc>
          <w:tcPr>
            <w:tcW w:type="dxa" w:w="1080"/>
          </w:tcPr>
          <w:p>
            <w:r>
              <w:rPr>
                <w:rFonts w:ascii="Calibri" w:hAnsi="Calibri"/>
                <w:sz w:val="22"/>
              </w:rPr>
              <w:t>+0.4% vs. 88.25% avg.</w:t>
            </w:r>
          </w:p>
        </w:tc>
      </w:tr>
    </w:tbl>
    <w:p>
      <w:r>
        <w:rPr>
          <w:rFonts w:ascii="Calibri" w:hAnsi="Calibri"/>
          <w:i/>
          <w:color w:val="525866"/>
          <w:sz w:val="22"/>
        </w:rPr>
        <w:t>Estimates have been remarkably stable since the Q1 print, with both Q2 and FY 2026 FFO consensus unchanged at $1.71 and $6.97 respectively. The street is essentially tracking guidance midpoints, leaving no embedded cushion or risk premium — execution on leasing commencements and any update on 343 Madison financing are the primary catalysts for estimate movement. Source: Visible Alpha Consensus and Actuals Data (</w:t>
      </w:r>
      <w:r>
        <w:rPr>
          <w:rFonts w:ascii="Calibri" w:hAnsi="Calibri"/>
          <w:i/>
          <w:color w:val="525866"/>
          <w:sz w:val="22"/>
        </w:rPr>
        <w:t>https://insights.visiblealpha.com/mex/BXP_US/NMV/IS</w:t>
      </w:r>
      <w:r>
        <w:rPr>
          <w:rFonts w:ascii="Calibri" w:hAnsi="Calibri"/>
          <w:i/>
          <w:color w:val="525866"/>
          <w:sz w:val="22"/>
        </w:rPr>
        <w:t xml:space="preserve">; </w:t>
      </w:r>
      <w:r>
        <w:rPr>
          <w:rFonts w:ascii="Calibri" w:hAnsi="Calibri"/>
          <w:i/>
          <w:color w:val="525866"/>
          <w:sz w:val="22"/>
        </w:rPr>
        <w:t>https://insights.visiblealpha.com/mex/BXP_US/NMV/OP</w:t>
      </w:r>
      <w:r>
        <w:rPr>
          <w:rFonts w:ascii="Calibri" w:hAnsi="Calibri"/>
          <w:i/>
          <w:color w:val="525866"/>
          <w:sz w:val="22"/>
        </w:rPr>
        <w:t>).</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BXP has significantly outperformed both IYR and the S&amp;P 500 since Q1 earnings (+17% vs. +5% and +4% respectively), with the move driven primarily by multiple expansion and improving sentiment around premier office fundamentals rather than estimate revisions — the stock re-rated as the market gained confidence in the occupancy recovery narrative.</w:t>
      </w:r>
    </w:p>
    <w:p>
      <w:r>
        <w:rPr>
          <w:rFonts w:ascii="Calibri" w:hAnsi="Calibri"/>
          <w:color w:val="525866"/>
          <w:sz w:val="22"/>
        </w:rPr>
        <w:t xml:space="preserve">Since the Q1 2026 earnings date (April 28, 2026), BXP rose from $59.16 to $69.21 as of July 28, 2026, a gain of approximately </w:t>
      </w:r>
      <w:r>
        <w:rPr>
          <w:rFonts w:ascii="Calibri" w:hAnsi="Calibri"/>
          <w:b/>
          <w:color w:val="525866"/>
          <w:sz w:val="22"/>
        </w:rPr>
        <w:t>+17.0%</w:t>
      </w:r>
      <w:r>
        <w:rPr>
          <w:rFonts w:ascii="Calibri" w:hAnsi="Calibri"/>
          <w:color w:val="525866"/>
          <w:sz w:val="22"/>
        </w:rPr>
        <w:t xml:space="preserve">. Over the same period, IYR (iShares U.S. Real Estate ETF, the relevant sector benchmark) gained approximately </w:t>
      </w:r>
      <w:r>
        <w:rPr>
          <w:rFonts w:ascii="Calibri" w:hAnsi="Calibri"/>
          <w:b/>
          <w:color w:val="525866"/>
          <w:sz w:val="22"/>
        </w:rPr>
        <w:t>+4.8%</w:t>
      </w:r>
      <w:r>
        <w:rPr>
          <w:rFonts w:ascii="Calibri" w:hAnsi="Calibri"/>
          <w:color w:val="525866"/>
          <w:sz w:val="22"/>
        </w:rPr>
        <w:t xml:space="preserve"> (from $101.74 to $106.64), and the S&amp;P 500 (SPY) gained approximately </w:t>
      </w:r>
      <w:r>
        <w:rPr>
          <w:rFonts w:ascii="Calibri" w:hAnsi="Calibri"/>
          <w:b/>
          <w:color w:val="525866"/>
          <w:sz w:val="22"/>
        </w:rPr>
        <w:t>+3.9%</w:t>
      </w:r>
      <w:r>
        <w:rPr>
          <w:rFonts w:ascii="Calibri" w:hAnsi="Calibri"/>
          <w:color w:val="525866"/>
          <w:sz w:val="22"/>
        </w:rPr>
        <w:t xml:space="preserve"> (from $711.69 to $739.09). BXP’s outperformance of ~1,200 bps vs. IYR and ~1,300 bps vs. the S&amp;P 500 reflects a re-rating of the premier office thesis, driven by accelerating AI-related leasing demand in San Francisco and Midtown South, strong Q1 execution, and the REITweek update confirming 800,000+ sq ft of Q2 leasing. The NTM EV/EBITDA multiple expanded from approximately 14.2x to 14.9x over the 3-month period, confirming that multiple expansion — not estimate revisions — was the primary driver. Source: Stock Price Data (Yahoo Finance).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BXP vs. IYR (U.S. Real Estate ETF) vs. S&amp;P 500 (SPY) — Indexed to 100 at April 28, 2026 (Q1 2026 Earnings Date). Source: Yahoo Finance / Stock Price Data.</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acceleration of AI-driven leasing demand across BXP’s markets — particularly San Francisco and Midtown South — combined with meaningful progress on the 343 Madison Avenue construction financing and equity recapitalization, which together de-risk the development pipeline and support the leverage reduction trajectory.</w:t>
      </w:r>
    </w:p>
    <w:p>
      <w:pPr>
        <w:pStyle w:val="ListBullet"/>
        <w:ind w:left="360" w:hanging="360"/>
      </w:pPr>
      <w:r>
        <w:rPr>
          <w:rFonts w:ascii="Calibri" w:hAnsi="Calibri"/>
          <w:b/>
          <w:color w:val="525866"/>
          <w:sz w:val="22"/>
        </w:rPr>
        <w:t>June 2, 2026 — Nareit REITweek Investor Conference:</w:t>
      </w:r>
      <w:r>
        <w:rPr>
          <w:rFonts w:ascii="Calibri" w:hAnsi="Calibri"/>
          <w:color w:val="525866"/>
          <w:sz w:val="22"/>
        </w:rPr>
        <w:t xml:space="preserve"> Management confirmed 800,000+ sq ft of Q2 leasing already executed as of early June, with a 2.3 million sq ft LOI pipeline and 1 million sq ft of additional discussions. CEO Owen Thomas stated “all of our markets today are stronger than they were in September of last year.” Implication: Q2 leasing volume tracking well ahead of pace needed to hit 89% year-end occupancy target.</w:t>
      </w:r>
    </w:p>
    <w:p>
      <w:pPr>
        <w:pStyle w:val="ListBullet"/>
        <w:ind w:left="360" w:hanging="360"/>
      </w:pPr>
      <w:r>
        <w:rPr>
          <w:rFonts w:ascii="Calibri" w:hAnsi="Calibri"/>
          <w:b/>
          <w:color w:val="525866"/>
          <w:sz w:val="22"/>
        </w:rPr>
        <w:t>June 2, 2026 — 343 Madison Avenue Update (REITweek):</w:t>
      </w:r>
      <w:r>
        <w:rPr>
          <w:rFonts w:ascii="Calibri" w:hAnsi="Calibri"/>
          <w:color w:val="525866"/>
          <w:sz w:val="22"/>
        </w:rPr>
        <w:t xml:space="preserve"> Construction loan term sheet (~$1.2B, ~60% of project cost) fully agreed with bank syndicate; closing expected Q3 2026. Project 56% pre-leased (STAR anchor at 325,000 sq ft + two additional leases expected to close by end of Q2 for ~200,000 sq ft). Equity raise targeting international family offices for $150M–$400M with multiple parties circled. Implication: </w:t>
      </w:r>
      <w:r>
        <w:rPr>
          <w:rFonts w:ascii="Calibri" w:hAnsi="Calibri"/>
          <w:b/>
          <w:color w:val="525866"/>
          <w:sz w:val="22"/>
        </w:rPr>
        <w:t>Financing close in Q3 would be a significant catalyst</w:t>
      </w:r>
      <w:r>
        <w:rPr>
          <w:rFonts w:ascii="Calibri" w:hAnsi="Calibri"/>
          <w:color w:val="525866"/>
          <w:sz w:val="22"/>
        </w:rPr>
        <w:t>, removing balance sheet risk and enabling leverage reduction.</w:t>
      </w:r>
    </w:p>
    <w:p>
      <w:pPr>
        <w:pStyle w:val="ListBullet"/>
        <w:ind w:left="360" w:hanging="360"/>
      </w:pPr>
      <w:r>
        <w:rPr>
          <w:rFonts w:ascii="Calibri" w:hAnsi="Calibri"/>
          <w:b/>
          <w:color w:val="525866"/>
          <w:sz w:val="22"/>
        </w:rPr>
        <w:t>June 2, 2026 — 290 Binney Street Delivery (REITweek):</w:t>
      </w:r>
      <w:r>
        <w:rPr>
          <w:rFonts w:ascii="Calibri" w:hAnsi="Calibri"/>
          <w:color w:val="525866"/>
          <w:sz w:val="22"/>
        </w:rPr>
        <w:t xml:space="preserve"> AstraZeneca commenced cash rent payments April 1, 2026; project delivered more than a month early. Implication: Accelerates NOI contribution but also increases net interest expense (capitalized interest ceases earlier) — already reflected in raised FY 2026 interest expense guidance.</w:t>
      </w:r>
    </w:p>
    <w:p>
      <w:pPr>
        <w:pStyle w:val="ListBullet"/>
        <w:ind w:left="360" w:hanging="360"/>
      </w:pPr>
      <w:r>
        <w:rPr>
          <w:rFonts w:ascii="Calibri" w:hAnsi="Calibri"/>
          <w:b/>
          <w:color w:val="525866"/>
          <w:sz w:val="22"/>
        </w:rPr>
        <w:t>June 2, 2026 — Asset Sales Progress (REITweek):</w:t>
      </w:r>
      <w:r>
        <w:rPr>
          <w:rFonts w:ascii="Calibri" w:hAnsi="Calibri"/>
          <w:color w:val="525866"/>
          <w:sz w:val="22"/>
        </w:rPr>
        <w:t xml:space="preserve"> $1.2B of asset sales closed to date, $200M under contract with hard deposits, ~$400M in active marketing — total of ~$1.8B toward the $1.9B three-year target. Implication: Program is substantially complete ahead of schedule, reducing balance sheet risk.</w:t>
      </w:r>
    </w:p>
    <w:p>
      <w:pPr>
        <w:pStyle w:val="ListBullet"/>
        <w:ind w:left="360" w:hanging="360"/>
      </w:pPr>
      <w:r>
        <w:rPr>
          <w:rFonts w:ascii="Calibri" w:hAnsi="Calibri"/>
          <w:b/>
          <w:color w:val="525866"/>
          <w:sz w:val="22"/>
        </w:rPr>
        <w:t>June 2, 2026 — AI Demand Acceleration:</w:t>
      </w:r>
      <w:r>
        <w:rPr>
          <w:rFonts w:ascii="Calibri" w:hAnsi="Calibri"/>
          <w:color w:val="525866"/>
          <w:sz w:val="22"/>
        </w:rPr>
        <w:t xml:space="preserve"> 80% of all San Francisco leasing in Q1 2026 was AI-related; Midtown South captured as much AI leasing in Q1 2026 as all of H1 2025. 360 Park Avenue South went from ~20% leased at start of 2025 to 90% leased by year-end 2025 and approaching full occupancy. Implication: AI demand is a structural tailwind for BXP’s premier urban assets.</w:t>
      </w:r>
    </w:p>
    <w:p>
      <w:pPr>
        <w:pStyle w:val="ListBullet"/>
        <w:ind w:left="360" w:hanging="360"/>
      </w:pPr>
      <w:r>
        <w:rPr>
          <w:rFonts w:ascii="Calibri" w:hAnsi="Calibri"/>
          <w:b/>
          <w:color w:val="525866"/>
          <w:sz w:val="22"/>
        </w:rPr>
        <w:t>June 29, 2026 — Q2 2026 Earnings Date Announcement:</w:t>
      </w:r>
      <w:r>
        <w:rPr>
          <w:rFonts w:ascii="Calibri" w:hAnsi="Calibri"/>
          <w:color w:val="525866"/>
          <w:sz w:val="22"/>
        </w:rPr>
        <w:t xml:space="preserve"> BXP confirmed Q2 2026 results to be released July 28, 2026, with earnings call July 29, 2026 at 10:00 AM ET.</w:t>
      </w:r>
    </w:p>
    <w:p>
      <w:pPr>
        <w:pStyle w:val="ListBullet"/>
        <w:ind w:left="360" w:hanging="360"/>
      </w:pPr>
      <w:r>
        <w:rPr>
          <w:rFonts w:ascii="Calibri" w:hAnsi="Calibri"/>
          <w:b/>
          <w:color w:val="525866"/>
          <w:sz w:val="22"/>
        </w:rPr>
        <w:t>July 28, 2026 — Federal Reserve Policy Meeting:</w:t>
      </w:r>
      <w:r>
        <w:rPr>
          <w:rFonts w:ascii="Calibri" w:hAnsi="Calibri"/>
          <w:color w:val="525866"/>
          <w:sz w:val="22"/>
        </w:rPr>
        <w:t xml:space="preserve"> Fed expected to hold rates at 3.50%–3.75%; market pricing ~38% chance of a hike. Implication: </w:t>
      </w:r>
      <w:r>
        <w:rPr>
          <w:rFonts w:ascii="Calibri" w:hAnsi="Calibri"/>
          <w:b/>
          <w:color w:val="525866"/>
          <w:sz w:val="22"/>
        </w:rPr>
        <w:t>Rate hike risk is a headwind for BXP</w:t>
      </w:r>
      <w:r>
        <w:rPr>
          <w:rFonts w:ascii="Calibri" w:hAnsi="Calibri"/>
          <w:color w:val="525866"/>
          <w:sz w:val="22"/>
        </w:rPr>
        <w:t xml:space="preserve"> given elevated leverage (~8.1x net debt/EBITDA) and commercial paper exposure; management already assumed flat SOFR for remainder of 2026 in guidance.</w:t>
      </w:r>
    </w:p>
    <w:p>
      <w:pPr>
        <w:pStyle w:val="ListBullet"/>
        <w:ind w:left="360" w:hanging="360"/>
      </w:pPr>
      <w:r>
        <w:rPr>
          <w:rFonts w:ascii="Calibri" w:hAnsi="Calibri"/>
          <w:b/>
          <w:color w:val="525866"/>
          <w:sz w:val="22"/>
        </w:rPr>
        <w:t>Rent Growth by Market (REITweek):</w:t>
      </w:r>
      <w:r>
        <w:rPr>
          <w:rFonts w:ascii="Calibri" w:hAnsi="Calibri"/>
          <w:color w:val="525866"/>
          <w:sz w:val="22"/>
        </w:rPr>
        <w:t xml:space="preserve"> Management cited ~15% annual net effective rent increases in Park Avenue Midtown Manhattan, close to double-digit increases in Back Bay Boston, and high single-digit increases in Northern Virginia/Reston. Concession packages (TIs and free rent) also beginning to compress in these markets. Implication: Positive for same-store NOI trajectory in 2H 2026 and 2027.</w:t>
      </w:r>
    </w:p>
    <w:p>
      <w:r>
        <w:br w:type="page"/>
      </w:r>
    </w:p>
    <w:p>
      <w:pPr>
        <w:pStyle w:val="Heading2"/>
      </w:pPr>
      <w:r>
        <w:rPr>
          <w:rFonts w:ascii="Calibri" w:hAnsi="Calibri"/>
          <w:b/>
          <w:color w:val="3B4259"/>
          <w:sz w:val="28"/>
        </w:rPr>
        <w:t>Peer Commentaries &amp; Current-Quarter Read-Through</w:t>
      </w:r>
    </w:p>
    <w:p>
      <w:r>
        <w:rPr>
          <w:rFonts w:ascii="Calibri" w:hAnsi="Calibri"/>
          <w:b/>
          <w:color w:val="525866"/>
          <w:sz w:val="22"/>
        </w:rPr>
        <w:t xml:space="preserve">Inclusion Rule: </w:t>
      </w:r>
      <w:r>
        <w:rPr>
          <w:rFonts w:ascii="Calibri" w:hAnsi="Calibri"/>
          <w:color w:val="525866"/>
          <w:sz w:val="22"/>
        </w:rPr>
        <w:t>Only peer commentary from the last 60 days (on or after May 28, 2026) that speaks to Q2 2026 current conditions, current-quarter operating trends, or forward outlook after the prior earnings release is included. Commentary from prior earnings calls discussing prior-quarter results only (e.g., Q1 2026 results discussed on Q1 earnings calls) is excluded. All commentary below is sourced from Q2 2026 earnings releases/calls or post-Q1 investor conferences.</w:t>
      </w:r>
    </w:p>
    <w:p>
      <w:pPr>
        <w:pStyle w:val="Heading3"/>
      </w:pPr>
      <w:r>
        <w:rPr>
          <w:rFonts w:ascii="Calibri" w:hAnsi="Calibri"/>
          <w:b/>
          <w:color w:val="3B4259"/>
          <w:sz w:val="24"/>
        </w:rPr>
        <w:t>SL Green Realty (SLG) — Q2 2026 Earnings Call (July 23, 2026)</w:t>
      </w:r>
    </w:p>
    <w:p>
      <w:r>
        <w:rPr>
          <w:rFonts w:ascii="Calibri" w:hAnsi="Calibri"/>
          <w:color w:val="525866"/>
          <w:sz w:val="22"/>
        </w:rPr>
        <w:t>Relevance: SLG is BXP’s closest peer in Midtown Manhattan premier office. SLG’s Q2 2026 results and commentary are the most direct read-through for BXP’s New York portfolio.</w:t>
      </w:r>
    </w:p>
    <w:p>
      <w:pPr>
        <w:pStyle w:val="ListBullet"/>
        <w:ind w:left="360" w:hanging="360"/>
      </w:pPr>
      <w:r>
        <w:rPr>
          <w:rFonts w:ascii="Calibri" w:hAnsi="Calibri"/>
          <w:b/>
          <w:color w:val="525866"/>
          <w:sz w:val="22"/>
        </w:rPr>
        <w:t>Manhattan Occupancy &amp; Leasing:</w:t>
      </w:r>
      <w:r>
        <w:rPr>
          <w:rFonts w:ascii="Calibri" w:hAnsi="Calibri"/>
          <w:color w:val="525866"/>
          <w:sz w:val="22"/>
        </w:rPr>
        <w:t xml:space="preserve"> Manhattan same-store office occupancy increased to </w:t>
      </w:r>
      <w:r>
        <w:rPr>
          <w:rFonts w:ascii="Calibri" w:hAnsi="Calibri"/>
          <w:b/>
          <w:color w:val="525866"/>
          <w:sz w:val="22"/>
        </w:rPr>
        <w:t>94.7%</w:t>
      </w:r>
      <w:r>
        <w:rPr>
          <w:rFonts w:ascii="Calibri" w:hAnsi="Calibri"/>
          <w:color w:val="525866"/>
          <w:sz w:val="22"/>
        </w:rPr>
        <w:t xml:space="preserve"> as of June 30, 2026 (vs. 94.4% at Q1 end and 93.0% at year-end 2025), with a target of 95.0% by December 31, 2026. SLG signed 53 Manhattan office leases totaling 445,161 sq ft in Q2 2026. Read-through: Strong Manhattan occupancy momentum supports BXP’s ability to continue gaining occupancy in its New York portfolio.</w:t>
      </w:r>
    </w:p>
    <w:p>
      <w:pPr>
        <w:pStyle w:val="ListBullet"/>
        <w:ind w:left="360" w:hanging="360"/>
      </w:pPr>
      <w:r>
        <w:rPr>
          <w:rFonts w:ascii="Calibri" w:hAnsi="Calibri"/>
          <w:b/>
          <w:color w:val="525866"/>
          <w:sz w:val="22"/>
        </w:rPr>
        <w:t>Rent Growth &amp; Mark-to-Market:</w:t>
      </w:r>
      <w:r>
        <w:rPr>
          <w:rFonts w:ascii="Calibri" w:hAnsi="Calibri"/>
          <w:color w:val="525866"/>
          <w:sz w:val="22"/>
        </w:rPr>
        <w:t xml:space="preserve"> The mark-to-market on signed Manhattan office leases was </w:t>
      </w:r>
      <w:r>
        <w:rPr>
          <w:rFonts w:ascii="Calibri" w:hAnsi="Calibri"/>
          <w:b/>
          <w:color w:val="525866"/>
          <w:sz w:val="22"/>
        </w:rPr>
        <w:t>18.0% higher</w:t>
      </w:r>
      <w:r>
        <w:rPr>
          <w:rFonts w:ascii="Calibri" w:hAnsi="Calibri"/>
          <w:color w:val="525866"/>
          <w:sz w:val="22"/>
        </w:rPr>
        <w:t xml:space="preserve"> in Q2 2026 vs. prior fully escalated rents. Average rent on Q2 2026 leases was $93.17/sq ft with 4.5 months of free rent and $58.77/sq ft TI allowance. SLG CEO noted face rents have “dramatically increased throughout the portfolio” and net effective rents are “far higher than 15 to 20%” due to compressing concessions. Read-through: </w:t>
      </w:r>
      <w:r>
        <w:rPr>
          <w:rFonts w:ascii="Calibri" w:hAnsi="Calibri"/>
          <w:b/>
          <w:color w:val="525866"/>
          <w:sz w:val="22"/>
        </w:rPr>
        <w:t>Positive for BXP’s Park Avenue and Midtown South rent growth trajectory</w:t>
      </w:r>
      <w:r>
        <w:rPr>
          <w:rFonts w:ascii="Calibri" w:hAnsi="Calibri"/>
          <w:color w:val="525866"/>
          <w:sz w:val="22"/>
        </w:rPr>
        <w:t>; BXP management cited ~15% annual net effective rent increases in Park Avenue at REITweek.</w:t>
      </w:r>
    </w:p>
    <w:p>
      <w:pPr>
        <w:pStyle w:val="ListBullet"/>
        <w:ind w:left="360" w:hanging="360"/>
      </w:pPr>
      <w:r>
        <w:rPr>
          <w:rFonts w:ascii="Calibri" w:hAnsi="Calibri"/>
          <w:b/>
          <w:color w:val="525866"/>
          <w:sz w:val="22"/>
        </w:rPr>
        <w:t>Concessions Compressing:</w:t>
      </w:r>
      <w:r>
        <w:rPr>
          <w:rFonts w:ascii="Calibri" w:hAnsi="Calibri"/>
          <w:color w:val="525866"/>
          <w:sz w:val="22"/>
        </w:rPr>
        <w:t xml:space="preserve"> SLG noted concessions are “stabilized for new deals, maybe even slightly contracting.” For renewals, free rent is “3 to 4 months, three probably being the average.” Read-through: Consistent with BXP’s commentary that concession packages are compressing in Back Bay Boston, Midtown Manhattan, and Reston.</w:t>
      </w:r>
    </w:p>
    <w:p>
      <w:pPr>
        <w:pStyle w:val="ListBullet"/>
        <w:ind w:left="360" w:hanging="360"/>
      </w:pPr>
      <w:r>
        <w:rPr>
          <w:rFonts w:ascii="Calibri" w:hAnsi="Calibri"/>
          <w:b/>
          <w:color w:val="525866"/>
          <w:sz w:val="22"/>
        </w:rPr>
        <w:t>Tenant Demand — AI &amp; Financial Services:</w:t>
      </w:r>
      <w:r>
        <w:rPr>
          <w:rFonts w:ascii="Calibri" w:hAnsi="Calibri"/>
          <w:color w:val="525866"/>
          <w:sz w:val="22"/>
        </w:rPr>
        <w:t xml:space="preserve"> NYC economy is “in a league of its own” driven by financial services; Wall Street Q2 profits up 50% YoY. Tech/AI demand includes 9.5 million sq ft of active tech searches with 2.5 million sq ft from AI tenants. NYC-based companies raised $10.8B in VC funding in Q2 alone. Read-through: </w:t>
      </w:r>
      <w:r>
        <w:rPr>
          <w:rFonts w:ascii="Calibri" w:hAnsi="Calibri"/>
          <w:b/>
          <w:color w:val="525866"/>
          <w:sz w:val="22"/>
        </w:rPr>
        <w:t>Broad-based demand across financial services and AI supports BXP’s New York leasing pipeline</w:t>
      </w:r>
      <w:r>
        <w:rPr>
          <w:rFonts w:ascii="Calibri" w:hAnsi="Calibri"/>
          <w:color w:val="525866"/>
          <w:sz w:val="22"/>
        </w:rPr>
        <w:t>.</w:t>
      </w:r>
    </w:p>
    <w:p>
      <w:pPr>
        <w:pStyle w:val="ListBullet"/>
        <w:ind w:left="360" w:hanging="360"/>
      </w:pPr>
      <w:r>
        <w:rPr>
          <w:rFonts w:ascii="Calibri" w:hAnsi="Calibri"/>
          <w:b/>
          <w:color w:val="525866"/>
          <w:sz w:val="22"/>
        </w:rPr>
        <w:t>Supply Scarcity:</w:t>
      </w:r>
      <w:r>
        <w:rPr>
          <w:rFonts w:ascii="Calibri" w:hAnsi="Calibri"/>
          <w:color w:val="525866"/>
          <w:sz w:val="22"/>
        </w:rPr>
        <w:t xml:space="preserve"> SLG highlighted “almost no addition to space to speak of in a 400 million sq ft market” over the next five years, with older office stock being converted to residential, causing inventory to “drop.” Read-through: Favorable supply-demand dynamic for BXP’s premier Midtown assets.</w:t>
      </w:r>
    </w:p>
    <w:p>
      <w:pPr>
        <w:pStyle w:val="ListBullet"/>
        <w:ind w:left="360" w:hanging="360"/>
      </w:pPr>
      <w:r>
        <w:rPr>
          <w:rFonts w:ascii="Calibri" w:hAnsi="Calibri"/>
          <w:b/>
          <w:color w:val="525866"/>
          <w:sz w:val="22"/>
        </w:rPr>
        <w:t>FFO Guidance Raised Significantly:</w:t>
      </w:r>
      <w:r>
        <w:rPr>
          <w:rFonts w:ascii="Calibri" w:hAnsi="Calibri"/>
          <w:color w:val="525866"/>
          <w:sz w:val="22"/>
        </w:rPr>
        <w:t xml:space="preserve"> SLG raised FY 2026 FFO guidance by $1.20/share (&gt;26%) to $5.60–$5.90, driven by higher NOI from the Manhattan office portfolio and income from One Vanderbilt. SLG expects “in excess of 10% same-store cash NOI growth in 2027.” Read-through: </w:t>
      </w:r>
      <w:r>
        <w:rPr>
          <w:rFonts w:ascii="Calibri" w:hAnsi="Calibri"/>
          <w:b/>
          <w:color w:val="525866"/>
          <w:sz w:val="22"/>
        </w:rPr>
        <w:t>Positive signal for BXP’s 2027 earnings ramp thesis</w:t>
      </w:r>
      <w:r>
        <w:rPr>
          <w:rFonts w:ascii="Calibri" w:hAnsi="Calibri"/>
          <w:color w:val="525866"/>
          <w:sz w:val="22"/>
        </w:rPr>
        <w:t>; if Manhattan fundamentals are this strong for SLG, BXP’s Park Avenue and Midtown South assets should benefit similarly.</w:t>
      </w:r>
    </w:p>
    <w:p>
      <w:pPr>
        <w:pStyle w:val="ListBullet"/>
        <w:ind w:left="360" w:hanging="360"/>
      </w:pPr>
      <w:r>
        <w:rPr>
          <w:rFonts w:ascii="Calibri" w:hAnsi="Calibri"/>
          <w:b/>
          <w:color w:val="525866"/>
          <w:sz w:val="22"/>
        </w:rPr>
        <w:t>Capital Markets:</w:t>
      </w:r>
      <w:r>
        <w:rPr>
          <w:rFonts w:ascii="Calibri" w:hAnsi="Calibri"/>
          <w:color w:val="525866"/>
          <w:sz w:val="22"/>
        </w:rPr>
        <w:t xml:space="preserve"> Manhattan investment sales market jumped 50% annually in H1 2026 (strongest H1 since 2022). Trophy office CMBS spreads now trading “in line with or inside” industrial, multifamily, and self-storage. SLG sold 10 East 53rd Street at ~5.7% cap rate. Read-through: </w:t>
      </w:r>
      <w:r>
        <w:rPr>
          <w:rFonts w:ascii="Calibri" w:hAnsi="Calibri"/>
          <w:b/>
          <w:color w:val="525866"/>
          <w:sz w:val="22"/>
        </w:rPr>
        <w:t>Improving transaction market supports BXP’s ongoing asset sale program</w:t>
      </w:r>
      <w:r>
        <w:rPr>
          <w:rFonts w:ascii="Calibri" w:hAnsi="Calibri"/>
          <w:color w:val="525866"/>
          <w:sz w:val="22"/>
        </w:rPr>
        <w:t xml:space="preserve"> and validates cap rate assumptions.</w:t>
      </w:r>
    </w:p>
    <w:p>
      <w:r>
        <w:rPr>
          <w:rFonts w:ascii="Calibri" w:hAnsi="Calibri"/>
          <w:i/>
          <w:color w:val="525866"/>
          <w:sz w:val="22"/>
        </w:rPr>
        <w:t>Source: SL Green Realty Q2 2026 Earnings Release (July 22, 2026) and Earnings Call Transcript (July 23, 2026).</w:t>
      </w:r>
    </w:p>
    <w:p>
      <w:pPr>
        <w:pStyle w:val="Heading3"/>
      </w:pPr>
      <w:r>
        <w:rPr>
          <w:rFonts w:ascii="Calibri" w:hAnsi="Calibri"/>
          <w:b/>
          <w:color w:val="3B4259"/>
          <w:sz w:val="24"/>
        </w:rPr>
        <w:t>Kilroy Realty (KRC) — Q2 2026 Earnings Release (July 27, 2026)</w:t>
      </w:r>
    </w:p>
    <w:p>
      <w:r>
        <w:rPr>
          <w:rFonts w:ascii="Calibri" w:hAnsi="Calibri"/>
          <w:color w:val="525866"/>
          <w:sz w:val="22"/>
        </w:rPr>
        <w:t>Relevance: KRC is BXP’s closest peer in West Coast office and life science markets (San Francisco Bay Area, Los Angeles, Seattle), providing a direct read-through for BXP’s San Francisco and Seattle portfolios.</w:t>
      </w:r>
    </w:p>
    <w:p>
      <w:pPr>
        <w:pStyle w:val="ListBullet"/>
        <w:ind w:left="360" w:hanging="360"/>
      </w:pPr>
      <w:r>
        <w:rPr>
          <w:rFonts w:ascii="Calibri" w:hAnsi="Calibri"/>
          <w:b/>
          <w:color w:val="525866"/>
          <w:sz w:val="22"/>
        </w:rPr>
        <w:t>West Coast Fundamentals Improving:</w:t>
      </w:r>
      <w:r>
        <w:rPr>
          <w:rFonts w:ascii="Calibri" w:hAnsi="Calibri"/>
          <w:color w:val="525866"/>
          <w:sz w:val="22"/>
        </w:rPr>
        <w:t xml:space="preserve"> KRC CEO Angela Aman noted “continuing improvement in commercial real estate fundamentals across our West Coast markets… growing market demand against a backdrop of moderating high-quality supply.” Read-through: </w:t>
      </w:r>
      <w:r>
        <w:rPr>
          <w:rFonts w:ascii="Calibri" w:hAnsi="Calibri"/>
          <w:b/>
          <w:color w:val="525866"/>
          <w:sz w:val="22"/>
        </w:rPr>
        <w:t>Positive for BXP’s San Francisco and Seattle portfolios</w:t>
      </w:r>
      <w:r>
        <w:rPr>
          <w:rFonts w:ascii="Calibri" w:hAnsi="Calibri"/>
          <w:color w:val="525866"/>
          <w:sz w:val="22"/>
        </w:rPr>
        <w:t>, which have been the most challenged markets.</w:t>
      </w:r>
    </w:p>
    <w:p>
      <w:pPr>
        <w:pStyle w:val="ListBullet"/>
        <w:ind w:left="360" w:hanging="360"/>
      </w:pPr>
      <w:r>
        <w:rPr>
          <w:rFonts w:ascii="Calibri" w:hAnsi="Calibri"/>
          <w:b/>
          <w:color w:val="525866"/>
          <w:sz w:val="22"/>
        </w:rPr>
        <w:t>Leasing Volume &amp; Rent Growth:</w:t>
      </w:r>
      <w:r>
        <w:rPr>
          <w:rFonts w:ascii="Calibri" w:hAnsi="Calibri"/>
          <w:color w:val="525866"/>
          <w:sz w:val="22"/>
        </w:rPr>
        <w:t xml:space="preserve"> KRC executed nearly 400,000 sq ft of new and renewal leases in Q2 2026, with re-leasing spreads of </w:t>
      </w:r>
      <w:r>
        <w:rPr>
          <w:rFonts w:ascii="Calibri" w:hAnsi="Calibri"/>
          <w:b/>
          <w:color w:val="525866"/>
          <w:sz w:val="22"/>
        </w:rPr>
        <w:t>+27% GAAP and +16% cash</w:t>
      </w:r>
      <w:r>
        <w:rPr>
          <w:rFonts w:ascii="Calibri" w:hAnsi="Calibri"/>
          <w:color w:val="525866"/>
          <w:sz w:val="22"/>
        </w:rPr>
        <w:t xml:space="preserve"> on comparable second-generation space. Read-through: Strong rent growth on re-leased space is a positive signal for BXP’s ability to achieve similar increases in its West Coast assets.</w:t>
      </w:r>
    </w:p>
    <w:p>
      <w:pPr>
        <w:pStyle w:val="ListBullet"/>
        <w:ind w:left="360" w:hanging="360"/>
      </w:pPr>
      <w:r>
        <w:rPr>
          <w:rFonts w:ascii="Calibri" w:hAnsi="Calibri"/>
          <w:b/>
          <w:color w:val="525866"/>
          <w:sz w:val="22"/>
        </w:rPr>
        <w:t>Occupancy by Market (June 30, 2026):</w:t>
      </w:r>
      <w:r>
        <w:rPr>
          <w:rFonts w:ascii="Calibri" w:hAnsi="Calibri"/>
          <w:color w:val="525866"/>
          <w:sz w:val="22"/>
        </w:rPr>
        <w:t xml:space="preserve"> San Francisco Bay Area: 75.3%; Los Angeles: 72.5%; Seattle: 78.9%; San Diego: 84.1%. Stabilized portfolio (ex-KOP 2): 80.8% occupied, 83.3% leased. Read-through: West Coast occupancy remains below BXP’s overall portfolio (87.4%), but the 450 bps leased-vs-occupied spread at KRC signals future occupancy gains — similar to BXP’s 350 bps spread.</w:t>
      </w:r>
    </w:p>
    <w:p>
      <w:pPr>
        <w:pStyle w:val="ListBullet"/>
        <w:ind w:left="360" w:hanging="360"/>
      </w:pPr>
      <w:r>
        <w:rPr>
          <w:rFonts w:ascii="Calibri" w:hAnsi="Calibri"/>
          <w:b/>
          <w:color w:val="525866"/>
          <w:sz w:val="22"/>
        </w:rPr>
        <w:t>Life Science Demand:</w:t>
      </w:r>
      <w:r>
        <w:rPr>
          <w:rFonts w:ascii="Calibri" w:hAnsi="Calibri"/>
          <w:color w:val="525866"/>
          <w:sz w:val="22"/>
        </w:rPr>
        <w:t xml:space="preserve"> KRC signed an ~38,000 sq ft lease with Olema Pharmaceuticals at Kilroy Oyster Point Phase 2, indicating continued (if selective) life science demand. Read-through: Consistent with BXP’s commentary that Greater Boston life science has “bottomed out” with improving activity.</w:t>
      </w:r>
    </w:p>
    <w:p>
      <w:pPr>
        <w:pStyle w:val="ListBullet"/>
        <w:ind w:left="360" w:hanging="360"/>
      </w:pPr>
      <w:r>
        <w:rPr>
          <w:rFonts w:ascii="Calibri" w:hAnsi="Calibri"/>
          <w:b/>
          <w:color w:val="525866"/>
          <w:sz w:val="22"/>
        </w:rPr>
        <w:t>FFO Guidance Affirmed:</w:t>
      </w:r>
      <w:r>
        <w:rPr>
          <w:rFonts w:ascii="Calibri" w:hAnsi="Calibri"/>
          <w:color w:val="525866"/>
          <w:sz w:val="22"/>
        </w:rPr>
        <w:t xml:space="preserve"> KRC affirmed FY 2026 FFO guidance of $3.49–$3.63/share, with same-property cash NOI growth of 0.25%–1.25%. Read-through: Stable guidance (vs. SLG’s large raise) reflects the more gradual West Coast recovery — BXP’s West Coast exposure is a drag vs. its East Coast strength.</w:t>
      </w:r>
    </w:p>
    <w:p>
      <w:pPr>
        <w:pStyle w:val="ListBullet"/>
        <w:ind w:left="360" w:hanging="360"/>
      </w:pPr>
      <w:r>
        <w:rPr>
          <w:rFonts w:ascii="Calibri" w:hAnsi="Calibri"/>
          <w:b/>
          <w:color w:val="525866"/>
          <w:sz w:val="22"/>
        </w:rPr>
        <w:t>Capital Markets &amp; Dispositions:</w:t>
      </w:r>
      <w:r>
        <w:rPr>
          <w:rFonts w:ascii="Calibri" w:hAnsi="Calibri"/>
          <w:color w:val="525866"/>
          <w:sz w:val="22"/>
        </w:rPr>
        <w:t xml:space="preserve"> KRC closed ~$200M of residential dispositions and expanded its unsecured credit facility (revolving credit increased to $1.25B, maturity extended to July 2030). Read-through: Active capital recycling and strong credit market access are positive signals for BXP’s own disposition program and financing activities.</w:t>
      </w:r>
    </w:p>
    <w:p>
      <w:r>
        <w:rPr>
          <w:rFonts w:ascii="Calibri" w:hAnsi="Calibri"/>
          <w:i/>
          <w:color w:val="525866"/>
          <w:sz w:val="22"/>
        </w:rPr>
        <w:t>Source: Kilroy Realty Q2 2026 Earnings Release (July 27, 2026).</w:t>
      </w:r>
    </w:p>
    <w:p>
      <w:pPr>
        <w:pStyle w:val="Heading3"/>
      </w:pPr>
      <w:r>
        <w:rPr>
          <w:rFonts w:ascii="Calibri" w:hAnsi="Calibri"/>
          <w:b/>
          <w:color w:val="3B4259"/>
          <w:sz w:val="24"/>
        </w:rPr>
        <w:t>BXP — Nareit REITweek Investor Conference (June 2, 2026)</w:t>
      </w:r>
    </w:p>
    <w:p>
      <w:r>
        <w:rPr>
          <w:rFonts w:ascii="Calibri" w:hAnsi="Calibri"/>
          <w:color w:val="525866"/>
          <w:sz w:val="22"/>
        </w:rPr>
        <w:t>Relevance: BXP’s own management commentary at REITweek provides the most current forward-looking color on Q2 2026 conditions and the full-year outlook, serving as the key post-Q1 update.</w:t>
      </w:r>
    </w:p>
    <w:p>
      <w:pPr>
        <w:pStyle w:val="ListBullet"/>
        <w:ind w:left="360" w:hanging="360"/>
      </w:pPr>
      <w:r>
        <w:rPr>
          <w:rFonts w:ascii="Calibri" w:hAnsi="Calibri"/>
          <w:b/>
          <w:color w:val="525866"/>
          <w:sz w:val="22"/>
        </w:rPr>
        <w:t>Q2 Leasing Momentum:</w:t>
      </w:r>
      <w:r>
        <w:rPr>
          <w:rFonts w:ascii="Calibri" w:hAnsi="Calibri"/>
          <w:color w:val="525866"/>
          <w:sz w:val="22"/>
        </w:rPr>
        <w:t xml:space="preserve"> Management confirmed “well over 800,000 sq ft” of leasing already executed in Q2 as of early June, with a 2.3 million sq ft LOI pipeline (900,000 sq ft on vacant space, 450,000 sq ft on 2026–2027 expirations). Full-year leasing target of minimum 4 million sq ft maintained.</w:t>
      </w:r>
    </w:p>
    <w:p>
      <w:pPr>
        <w:pStyle w:val="ListBullet"/>
        <w:ind w:left="360" w:hanging="360"/>
      </w:pPr>
      <w:r>
        <w:rPr>
          <w:rFonts w:ascii="Calibri" w:hAnsi="Calibri"/>
          <w:b/>
          <w:color w:val="525866"/>
          <w:sz w:val="22"/>
        </w:rPr>
        <w:t>Market-by-Market Demand:</w:t>
      </w:r>
      <w:r>
        <w:rPr>
          <w:rFonts w:ascii="Calibri" w:hAnsi="Calibri"/>
          <w:color w:val="525866"/>
          <w:sz w:val="22"/>
        </w:rPr>
        <w:t xml:space="preserve"> Manhattan: financial services, professional services, and growing AI demand in Midtown South. San Francisco: 80% of Q1 2026 leasing was AI-related. Boston Back Bay: financial and professional services dominant. Northern Virginia: defense contracting and cybersecurity. Washington DC: clients signing leases before BXP controls the site.</w:t>
      </w:r>
    </w:p>
    <w:p>
      <w:pPr>
        <w:pStyle w:val="ListBullet"/>
        <w:ind w:left="360" w:hanging="360"/>
      </w:pPr>
      <w:r>
        <w:rPr>
          <w:rFonts w:ascii="Calibri" w:hAnsi="Calibri"/>
          <w:b/>
          <w:color w:val="525866"/>
          <w:sz w:val="22"/>
        </w:rPr>
        <w:t>Occupancy Trajectory:</w:t>
      </w:r>
      <w:r>
        <w:rPr>
          <w:rFonts w:ascii="Calibri" w:hAnsi="Calibri"/>
          <w:color w:val="525866"/>
          <w:sz w:val="22"/>
        </w:rPr>
        <w:t xml:space="preserve"> Management stated the company is “very much on track” to achieve 89% year-end 2026 occupancy and 91% year-end 2027 occupancy, with “minimal rollover in ’26 and ’27” as a tailwind.</w:t>
      </w:r>
    </w:p>
    <w:p>
      <w:pPr>
        <w:pStyle w:val="ListBullet"/>
        <w:ind w:left="360" w:hanging="360"/>
      </w:pPr>
      <w:r>
        <w:rPr>
          <w:rFonts w:ascii="Calibri" w:hAnsi="Calibri"/>
          <w:b/>
          <w:color w:val="525866"/>
          <w:sz w:val="22"/>
        </w:rPr>
        <w:t>Valuation Disconnect:</w:t>
      </w:r>
      <w:r>
        <w:rPr>
          <w:rFonts w:ascii="Calibri" w:hAnsi="Calibri"/>
          <w:color w:val="525866"/>
          <w:sz w:val="22"/>
        </w:rPr>
        <w:t xml:space="preserve"> CEO Owen Thomas explicitly flagged a “disconnect between how the company is being valued and what the performance is based on the market condition,” attributing it to capital flows favoring AI infrastructure over traditional real estate and the market’s failure to distinguish premier from non-premier office.</w:t>
      </w:r>
    </w:p>
    <w:p>
      <w:r>
        <w:rPr>
          <w:rFonts w:ascii="Calibri" w:hAnsi="Calibri"/>
          <w:i/>
          <w:color w:val="525866"/>
          <w:sz w:val="22"/>
        </w:rPr>
        <w:t>Source: BXP Nareit REITweek Investor Conference Transcript (June 2, 2026).</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 a single open-market sale by an EVP in May 2026 with no 10b5-1 plan designation; no open-market buys have been filed. The absence of buying despite management’s stated view that the stock is “attractively valued” is consistent with the company’s explicit capital allocation priority of directing cash to development and deleveraging rather than buybacks.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Peter V. Otteni</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4,863 shares</w:t>
            </w:r>
          </w:p>
        </w:tc>
        <w:tc>
          <w:tcPr>
            <w:tcW w:type="dxa" w:w="1440"/>
          </w:tcPr>
          <w:p>
            <w:r>
              <w:rPr>
                <w:rFonts w:ascii="Calibri" w:hAnsi="Calibri"/>
                <w:sz w:val="22"/>
              </w:rPr>
              <w:t>May 20, 2026</w:t>
            </w:r>
          </w:p>
        </w:tc>
        <w:tc>
          <w:tcPr>
            <w:tcW w:type="dxa" w:w="1440"/>
          </w:tcPr>
          <w:p>
            <w:r>
              <w:rPr>
                <w:rFonts w:ascii="Calibri" w:hAnsi="Calibri"/>
                <w:sz w:val="22"/>
              </w:rPr>
              <w:t>Discretionary sale; no 10b5-1 plan indicated; volume owned post-transaction: 0 shares (full liquidation of position)</w:t>
            </w:r>
          </w:p>
        </w:tc>
      </w:tr>
    </w:tbl>
    <w:p>
      <w:r>
        <w:rPr>
          <w:rFonts w:ascii="Calibri" w:hAnsi="Calibri"/>
          <w:i/>
          <w:color w:val="525866"/>
          <w:sz w:val="22"/>
        </w:rPr>
        <w:t>Source: SEC Form 4 Filing — Otteni Peter V (BXP), filed May 20, 2026 (</w:t>
      </w:r>
      <w:r>
        <w:rPr>
          <w:rFonts w:ascii="Calibri" w:hAnsi="Calibri"/>
          <w:i/>
          <w:color w:val="525866"/>
          <w:sz w:val="22"/>
        </w:rPr>
        <w:t>https://www.sec.gov/Archives/edgar/data/1037540/000186292026000010/xslF345X06/wk-form4_1779292229.xml</w:t>
      </w:r>
      <w:r>
        <w:rPr>
          <w:rFonts w:ascii="Calibri" w:hAnsi="Calibri"/>
          <w:i/>
          <w:color w:val="525866"/>
          <w:sz w:val="22"/>
        </w:rPr>
        <w:t>). Insider Transaction Data (SEC Form 4 Filings Database).</w:t>
      </w:r>
    </w:p>
    <w:p>
      <w:pPr>
        <w:pStyle w:val="Heading2"/>
      </w:pPr>
      <w:r>
        <w:rPr>
          <w:rFonts w:ascii="Calibri" w:hAnsi="Calibri"/>
          <w:b/>
          <w:color w:val="3B4259"/>
          <w:sz w:val="28"/>
        </w:rPr>
        <w:t>Key Risks &amp; Earnings Questions</w:t>
      </w:r>
    </w:p>
    <w:p>
      <w:r>
        <w:rPr>
          <w:rFonts w:ascii="Calibri" w:hAnsi="Calibri"/>
          <w:b/>
          <w:color w:val="525866"/>
          <w:sz w:val="22"/>
        </w:rPr>
        <w:t xml:space="preserve">Key Takeaway: </w:t>
      </w:r>
      <w:r>
        <w:rPr>
          <w:rFonts w:ascii="Calibri" w:hAnsi="Calibri"/>
          <w:color w:val="525866"/>
          <w:sz w:val="22"/>
        </w:rPr>
        <w:t>The primary risks heading into Q2 are interest rate uncertainty (potential Fed hike), elevated leasing CapEx pressure on FAD, and execution risk on the 343 Madison financing close; the key questions for the call center on occupancy cadence, same-store NOI trajectory, and the 343 Madison update.</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Interest Rate Risk:</w:t>
      </w:r>
      <w:r>
        <w:rPr>
          <w:rFonts w:ascii="Calibri" w:hAnsi="Calibri"/>
          <w:color w:val="525866"/>
          <w:sz w:val="22"/>
        </w:rPr>
        <w:t xml:space="preserve"> The Fed is meeting July 28–29 with ~38% market probability of a hike. BXP assumed flat SOFR for the rest of 2026 in its guidance; a hike would increase net interest expense beyond the already-raised guidance and pressure FFO. With net debt/EBITDA at ~8.1x, BXP has above-average rate sensitivity among office REITs.</w:t>
      </w:r>
    </w:p>
    <w:p>
      <w:pPr>
        <w:pStyle w:val="ListBullet"/>
        <w:ind w:left="360" w:hanging="360"/>
      </w:pPr>
      <w:r>
        <w:rPr>
          <w:rFonts w:ascii="Calibri" w:hAnsi="Calibri"/>
          <w:b/>
          <w:color w:val="525866"/>
          <w:sz w:val="22"/>
        </w:rPr>
        <w:t>Leasing CapEx / FAD Pressure:</w:t>
      </w:r>
      <w:r>
        <w:rPr>
          <w:rFonts w:ascii="Calibri" w:hAnsi="Calibri"/>
          <w:color w:val="525866"/>
          <w:sz w:val="22"/>
        </w:rPr>
        <w:t xml:space="preserve"> Full-year leasing CapEx guidance was raised to “in excess of $400M” (vs. prior $220–$250M). Additional early renewals expected in Q2 and Q4 will sustain elevated FAD pressure through year-end, widening the gap between FFO and cash available for distribution.</w:t>
      </w:r>
    </w:p>
    <w:p>
      <w:pPr>
        <w:pStyle w:val="ListBullet"/>
        <w:ind w:left="360" w:hanging="360"/>
      </w:pPr>
      <w:r>
        <w:rPr>
          <w:rFonts w:ascii="Calibri" w:hAnsi="Calibri"/>
          <w:b/>
          <w:color w:val="525866"/>
          <w:sz w:val="22"/>
        </w:rPr>
        <w:t>343 Madison Financing Execution:</w:t>
      </w:r>
      <w:r>
        <w:rPr>
          <w:rFonts w:ascii="Calibri" w:hAnsi="Calibri"/>
          <w:color w:val="525866"/>
          <w:sz w:val="22"/>
        </w:rPr>
        <w:t xml:space="preserve"> The construction loan (~$1.2B) and equity recapitalization ($150M–$400M) are targeted for Q3 2026 close. Any delay or adverse terms would leave BXP funding the project on its own balance sheet, increasing leverage and reducing financial flexibility.</w:t>
      </w:r>
    </w:p>
    <w:p>
      <w:pPr>
        <w:pStyle w:val="ListBullet"/>
        <w:ind w:left="360" w:hanging="360"/>
      </w:pPr>
      <w:r>
        <w:rPr>
          <w:rFonts w:ascii="Calibri" w:hAnsi="Calibri"/>
          <w:b/>
          <w:color w:val="525866"/>
          <w:sz w:val="22"/>
        </w:rPr>
        <w:t>Same-Store NOI Trajectory:</w:t>
      </w:r>
      <w:r>
        <w:rPr>
          <w:rFonts w:ascii="Calibri" w:hAnsi="Calibri"/>
          <w:color w:val="525866"/>
          <w:sz w:val="22"/>
        </w:rPr>
        <w:t xml:space="preserve"> Q2 2026 consensus same-store NOI growth is -1.6% YoY, below the FY 2026 guidance range of +1.4% to +2.4%. The quarterly cadence implies a significant acceleration in H2 2026 — any slippage in lease commencements could push the full-year figure below guidance.</w:t>
      </w:r>
    </w:p>
    <w:p>
      <w:pPr>
        <w:pStyle w:val="ListBullet"/>
        <w:ind w:left="360" w:hanging="360"/>
      </w:pPr>
      <w:r>
        <w:rPr>
          <w:rFonts w:ascii="Calibri" w:hAnsi="Calibri"/>
          <w:b/>
          <w:color w:val="525866"/>
          <w:sz w:val="22"/>
        </w:rPr>
        <w:t>West Coast Recovery Pace:</w:t>
      </w:r>
      <w:r>
        <w:rPr>
          <w:rFonts w:ascii="Calibri" w:hAnsi="Calibri"/>
          <w:color w:val="525866"/>
          <w:sz w:val="22"/>
        </w:rPr>
        <w:t xml:space="preserve"> While AI demand is accelerating in San Francisco, KRC’s Q2 data shows SF Bay Area occupancy at only 75.3% — a reminder that the West Coast recovery is still in early stages. BXP’s SF assets (680 Folsom at 92% leased, 535 Mission) are outperforming the market, but broader market weakness could limit upside.</w:t>
      </w:r>
    </w:p>
    <w:p>
      <w:pPr>
        <w:pStyle w:val="ListBullet"/>
        <w:ind w:left="360" w:hanging="360"/>
      </w:pPr>
      <w:r>
        <w:rPr>
          <w:rFonts w:ascii="Calibri" w:hAnsi="Calibri"/>
          <w:b/>
          <w:color w:val="525866"/>
          <w:sz w:val="22"/>
        </w:rPr>
        <w:t>Life Science Market Recovery Timing:</w:t>
      </w:r>
      <w:r>
        <w:rPr>
          <w:rFonts w:ascii="Calibri" w:hAnsi="Calibri"/>
          <w:color w:val="525866"/>
          <w:sz w:val="22"/>
        </w:rPr>
        <w:t xml:space="preserve"> Management stated Greater Boston life science has “bottomed out,” but the recovery is gradual. BXP’s urban edge Boston life science assets (Waltham, Kendall Square) remain exposed to a slower-than-expected recovery in lab demand.</w:t>
      </w:r>
    </w:p>
    <w:p>
      <w:pPr>
        <w:pStyle w:val="Heading3"/>
      </w:pPr>
      <w:r>
        <w:rPr>
          <w:rFonts w:ascii="Calibri" w:hAnsi="Calibri"/>
          <w:b/>
          <w:color w:val="3B4259"/>
          <w:sz w:val="24"/>
        </w:rPr>
        <w:t>Key Questions for the Earnings Call</w:t>
      </w:r>
    </w:p>
    <w:p>
      <w:pPr>
        <w:pStyle w:val="ListNumber"/>
        <w:ind w:left="360" w:hanging="360"/>
      </w:pPr>
      <w:r>
        <w:rPr>
          <w:rFonts w:ascii="Calibri" w:hAnsi="Calibri"/>
          <w:b/>
          <w:color w:val="525866"/>
          <w:sz w:val="22"/>
        </w:rPr>
        <w:t>Occupancy Cadence:</w:t>
      </w:r>
      <w:r>
        <w:rPr>
          <w:rFonts w:ascii="Calibri" w:hAnsi="Calibri"/>
          <w:color w:val="525866"/>
          <w:sz w:val="22"/>
        </w:rPr>
        <w:t xml:space="preserve"> What was Q2 2026 ending occupancy, and how does the leased-vs-occupied spread look heading into Q3? Is the 89% year-end target still on track, and could it be exceeded?</w:t>
      </w:r>
    </w:p>
    <w:p>
      <w:pPr>
        <w:pStyle w:val="ListNumber"/>
        <w:ind w:left="360" w:hanging="360"/>
      </w:pPr>
      <w:r>
        <w:rPr>
          <w:rFonts w:ascii="Calibri" w:hAnsi="Calibri"/>
          <w:b/>
          <w:color w:val="525866"/>
          <w:sz w:val="22"/>
        </w:rPr>
        <w:t>343 Madison Financing Update:</w:t>
      </w:r>
      <w:r>
        <w:rPr>
          <w:rFonts w:ascii="Calibri" w:hAnsi="Calibri"/>
          <w:color w:val="525866"/>
          <w:sz w:val="22"/>
        </w:rPr>
        <w:t xml:space="preserve"> Has the construction loan closed or is it imminent? What is the status of the equity recapitalization with international family offices? Any update on terms or timing?</w:t>
      </w:r>
    </w:p>
    <w:p>
      <w:pPr>
        <w:pStyle w:val="ListNumber"/>
        <w:ind w:left="360" w:hanging="360"/>
      </w:pPr>
      <w:r>
        <w:rPr>
          <w:rFonts w:ascii="Calibri" w:hAnsi="Calibri"/>
          <w:b/>
          <w:color w:val="525866"/>
          <w:sz w:val="22"/>
        </w:rPr>
        <w:t>Same-Store NOI Trajectory:</w:t>
      </w:r>
      <w:r>
        <w:rPr>
          <w:rFonts w:ascii="Calibri" w:hAnsi="Calibri"/>
          <w:color w:val="525866"/>
          <w:sz w:val="22"/>
        </w:rPr>
        <w:t xml:space="preserve"> What drove the Q2 same-store NOI result, and what gives management confidence in the H2 acceleration needed to hit the +1.4% to +2.4% FY guidance range?</w:t>
      </w:r>
    </w:p>
    <w:p>
      <w:pPr>
        <w:pStyle w:val="ListNumber"/>
        <w:ind w:left="360" w:hanging="360"/>
      </w:pPr>
      <w:r>
        <w:rPr>
          <w:rFonts w:ascii="Calibri" w:hAnsi="Calibri"/>
          <w:b/>
          <w:color w:val="525866"/>
          <w:sz w:val="22"/>
        </w:rPr>
        <w:t>Interest Expense &amp; Rate Sensitivity:</w:t>
      </w:r>
      <w:r>
        <w:rPr>
          <w:rFonts w:ascii="Calibri" w:hAnsi="Calibri"/>
          <w:color w:val="525866"/>
          <w:sz w:val="22"/>
        </w:rPr>
        <w:t xml:space="preserve"> How does the Fed’s July decision (hold or hike) affect the FY 2026 interest expense assumption? What is BXP’s commercial paper exposure and sensitivity to a 25 bps rate move?</w:t>
      </w:r>
    </w:p>
    <w:p>
      <w:pPr>
        <w:pStyle w:val="ListNumber"/>
        <w:ind w:left="360" w:hanging="360"/>
      </w:pPr>
      <w:r>
        <w:rPr>
          <w:rFonts w:ascii="Calibri" w:hAnsi="Calibri"/>
          <w:b/>
          <w:color w:val="525866"/>
          <w:sz w:val="22"/>
        </w:rPr>
        <w:t>Asset Sale Program:</w:t>
      </w:r>
      <w:r>
        <w:rPr>
          <w:rFonts w:ascii="Calibri" w:hAnsi="Calibri"/>
          <w:color w:val="525866"/>
          <w:sz w:val="22"/>
        </w:rPr>
        <w:t xml:space="preserve"> What is the status of the remaining ~$100M in the $1.9B target? Are there any additional assets being marketed, and what is the expected timing of remaining closings?</w:t>
      </w:r>
    </w:p>
    <w:p>
      <w:pPr>
        <w:pStyle w:val="ListNumber"/>
        <w:ind w:left="360" w:hanging="360"/>
      </w:pPr>
      <w:r>
        <w:rPr>
          <w:rFonts w:ascii="Calibri" w:hAnsi="Calibri"/>
          <w:b/>
          <w:color w:val="525866"/>
          <w:sz w:val="22"/>
        </w:rPr>
        <w:t>Leasing CapEx &amp; FAD:</w:t>
      </w:r>
      <w:r>
        <w:rPr>
          <w:rFonts w:ascii="Calibri" w:hAnsi="Calibri"/>
          <w:color w:val="525866"/>
          <w:sz w:val="22"/>
        </w:rPr>
        <w:t xml:space="preserve"> Is the “in excess of $400M” leasing CapEx guidance still the right number, or has Q2 activity pushed it higher? When does management expect FAD to inflect positively?</w:t>
      </w:r>
    </w:p>
    <w:p>
      <w:pPr>
        <w:pStyle w:val="ListNumber"/>
        <w:ind w:left="360" w:hanging="360"/>
      </w:pPr>
      <w:r>
        <w:rPr>
          <w:rFonts w:ascii="Calibri" w:hAnsi="Calibri"/>
          <w:b/>
          <w:color w:val="525866"/>
          <w:sz w:val="22"/>
        </w:rPr>
        <w:t>AI Demand Update:</w:t>
      </w:r>
      <w:r>
        <w:rPr>
          <w:rFonts w:ascii="Calibri" w:hAnsi="Calibri"/>
          <w:color w:val="525866"/>
          <w:sz w:val="22"/>
        </w:rPr>
        <w:t xml:space="preserve"> Has AI-related leasing demand continued to accelerate in Q2 across San Francisco and Midtown South? Are there any large AI tenant requirements in the pipeline that could be announced?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