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CARR before writing the preview. Let me gather recent earnings, guidance, filings, and news.I'll read the Q1 2026 earnings materials and get analyst/news context.Let me get recent stock performance and broader news context.Let me check for recent news/analyst context and the investor day for medium-term targets.# Carrier Global (CARR) — Q2 2026 Earnings Preview</w:t>
      </w:r>
      <w:r>
        <w:t xml:space="preserve"> </w:t>
      </w:r>
      <w:r>
        <w:rPr>
          <w:b/>
          <w:bCs/>
        </w:rPr>
        <w:t xml:space="preserve">Reports:</w:t>
      </w:r>
      <w:r>
        <w:t xml:space="preserve"> </w:t>
      </w:r>
      <w:r>
        <w:t xml:space="preserve">Tuesday, July 28, 2026, before the U.S. open |</w:t>
      </w:r>
      <w:r>
        <w:t xml:space="preserve"> </w:t>
      </w:r>
      <w:r>
        <w:rPr>
          <w:b/>
          <w:bCs/>
        </w:rPr>
        <w:t xml:space="preserve">Event:</w:t>
      </w:r>
      <w:r>
        <w:t xml:space="preserve"> </w:t>
      </w:r>
      <w:r>
        <w:t xml:space="preserve">2026 Q2 Earnings Call</w:t>
      </w:r>
    </w:p>
    <w:p>
      <w:r>
        <w:pict>
          <v:rect style="width:0;height:1.5pt" o:hralign="center" o:hrstd="t" o:hr="t"/>
        </w:pict>
      </w:r>
    </w:p>
    <w:bookmarkStart w:id="9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Carrier heads into Q2 as a "two-speed" story: an accelerating commercial HVAC/data-center engine that management is leaning into hard, layered over still-soft short-cycle residential and China businesses. The Street will judge the quarter less on the headline print (which is well-telegraphed) and more on</w:t>
      </w:r>
      <w:r>
        <w:t xml:space="preserve"> </w:t>
      </w:r>
      <w:r>
        <w:rPr>
          <w:b/>
          <w:bCs/>
        </w:rPr>
        <w:t xml:space="preserve">data-center order momentum, resi channel/demand signals, and whether the full-year guide gets nudged up.</w:t>
      </w:r>
    </w:p>
    <w:p>
      <w:r>
        <w:pict>
          <v:rect style="width:0;height:1.5pt" o:hralign="center" o:hrstd="t" o:hr="t"/>
        </w:pict>
      </w:r>
    </w:p>
    <w:bookmarkEnd w:id="9"/>
    <w:bookmarkStart w:id="11" w:name="what-the-numbers-should-look-like"/>
    <w:p>
      <w:pPr>
        <w:pStyle w:val="Heading2"/>
      </w:pPr>
      <w:r>
        <w:t xml:space="preserve">What the Numbers Should Look Like</w:t>
      </w:r>
    </w:p>
    <w:p>
      <w:pPr>
        <w:pStyle w:val="FirstParagraph"/>
      </w:pPr>
      <w:r>
        <w:t xml:space="preserve">Management gave unusually specific Q2 guidance on the Q1 call, so expectations are tightly framed: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Company Q2 guide (given Apr 30)</w:t>
            </w:r>
          </w:p>
        </w:tc>
        <w:tc>
          <w:tcPr/>
          <w:p>
            <w:pPr>
              <w:pStyle w:val="Compact"/>
            </w:pPr>
            <w:r>
              <w:t xml:space="preserve">Street (per news digest)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Just **below</w:t>
            </w:r>
            <w:r>
              <w:t xml:space="preserve"> </w:t>
            </w:r>
            <m:oMath>
              <m:r>
                <m:t>6</m:t>
              </m:r>
              <m:r>
                <m:t>B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t>n</m:t>
              </m:r>
              <m:r>
                <m:t>c</m:t>
              </m:r>
              <m:r>
                <m:t>l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100M more Riello than prior)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</w:t>
            </w:r>
          </w:p>
        </w:tc>
        <w:tc>
          <w:tcPr/>
          <w:p>
            <w:pPr>
              <w:pStyle w:val="Compact"/>
            </w:pPr>
            <w:r>
              <w:t xml:space="preserve">Flat to down low-single-digits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 -2%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~17%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 rate</w:t>
            </w:r>
          </w:p>
        </w:tc>
        <w:tc>
          <w:tcPr/>
          <w:p>
            <w:pPr>
              <w:pStyle w:val="Compact"/>
            </w:pPr>
            <w:r>
              <w:t xml:space="preserve">~24%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~$0.80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~$0.81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A few hundred million (normal seasonality)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Because the guide is so explicit, the bar is essentially "hit $0.80 and don't spook anyone on 2H." The more important debate is</w:t>
      </w:r>
      <w:r>
        <w:t xml:space="preserve"> </w:t>
      </w:r>
      <w:r>
        <w:rPr>
          <w:b/>
          <w:bCs/>
        </w:rPr>
        <w:t xml:space="preserve">quality and forward signals</w:t>
      </w:r>
      <w:r>
        <w:t xml:space="preserve">, not the Q2 EPS itself.</w:t>
      </w:r>
    </w:p>
    <w:bookmarkStart w:id="10" w:name="X0d1868e700138e718846a4cd23089ebbf3d4ab2"/>
    <w:p>
      <w:pPr>
        <w:pStyle w:val="Heading3"/>
      </w:pPr>
      <w:r>
        <w:t xml:space="preserve">Segment-level expectations management set for Q2: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Climate Solutions Americas (CSA):</w:t>
      </w:r>
      <w:r>
        <w:t xml:space="preserve"> </w:t>
      </w:r>
      <w:r>
        <w:t xml:space="preserve">Organic ~mid-single-digits</w:t>
      </w:r>
      <w:r>
        <w:t xml:space="preserve"> </w:t>
      </w:r>
      <w:r>
        <w:rPr>
          <w:b/>
          <w:bCs/>
        </w:rPr>
        <w:t xml:space="preserve">down</w:t>
      </w:r>
      <w:r>
        <w:t xml:space="preserve">; margin ~24%. Resi expected down ~mid-teens again (same mix headwind as Q1), Light Commercial down ~mid-single-digits.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Climate Solutions Europe (CSE):</w:t>
      </w:r>
      <w:r>
        <w:t xml:space="preserve"> </w:t>
      </w:r>
      <w:r>
        <w:t xml:space="preserve">Organic low-single-digits</w:t>
      </w:r>
      <w:r>
        <w:t xml:space="preserve"> </w:t>
      </w:r>
      <w:r>
        <w:rPr>
          <w:b/>
          <w:bCs/>
        </w:rPr>
        <w:t xml:space="preserve">positive</w:t>
      </w:r>
      <w:r>
        <w:t xml:space="preserve">; margin closer to ~10%. Heat-pump recovery is the swing factor.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CSAME (Asia/MEA):</w:t>
      </w:r>
      <w:r>
        <w:t xml:space="preserve"> </w:t>
      </w:r>
      <w:r>
        <w:t xml:space="preserve">Down low-single-digits; margin ~12%. China RLC remains the drag; Middle East conflict a headwind.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CST (Transportation):</w:t>
      </w:r>
      <w:r>
        <w:t xml:space="preserve"> </w:t>
      </w:r>
      <w:r>
        <w:t xml:space="preserve">Down low-single-digits; margin ~mid-teens. Container has been the standout upside.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7" w:name="the-five-things-that-actually-matter"/>
    <w:p>
      <w:pPr>
        <w:pStyle w:val="Heading2"/>
      </w:pPr>
      <w:r>
        <w:t xml:space="preserve">The Five Things That Actually Matter</w:t>
      </w:r>
    </w:p>
    <w:bookmarkStart w:id="12" w:name="X03da1615948c927a0d88f943294670eba238b40"/>
    <w:p>
      <w:pPr>
        <w:pStyle w:val="Heading3"/>
      </w:pPr>
      <w:r>
        <w:t xml:space="preserve">1. Data centers — the whole bull case</w:t>
      </w:r>
    </w:p>
    <w:p>
      <w:pPr>
        <w:pStyle w:val="FirstParagraph"/>
      </w:pPr>
      <w:r>
        <w:t xml:space="preserve">This is the number one focus. In Q1,</w:t>
      </w:r>
      <w:r>
        <w:t xml:space="preserve"> </w:t>
      </w:r>
      <w:r>
        <w:rPr>
          <w:b/>
          <w:bCs/>
        </w:rPr>
        <w:t xml:space="preserve">global data center orders were up over 500%</w:t>
      </w:r>
      <w:r>
        <w:t xml:space="preserve">, and management said backlog already</w:t>
      </w:r>
      <w:r>
        <w:t xml:space="preserve"> </w:t>
      </w:r>
      <w:r>
        <w:rPr>
          <w:b/>
          <w:bCs/>
        </w:rPr>
        <w:t xml:space="preserve">fully covers the ~$1.5B of expected 2026 data-center sales</w:t>
      </w:r>
      <w:r>
        <w:t xml:space="preserve">, with a stated goal to exceed it. Key things to watch:</w:t>
      </w:r>
    </w:p>
    <w:p>
      <w:pPr>
        <w:pStyle w:val="Compact"/>
        <w:numPr>
          <w:ilvl w:val="0"/>
          <w:numId w:val="1002"/>
        </w:numPr>
      </w:pPr>
      <w:r>
        <w:t xml:space="preserve">Any</w:t>
      </w:r>
      <w:r>
        <w:t xml:space="preserve"> </w:t>
      </w:r>
      <w:r>
        <w:rPr>
          <w:b/>
          <w:bCs/>
        </w:rPr>
        <w:t xml:space="preserve">raise to the $1.5B target</w:t>
      </w:r>
      <w:r>
        <w:t xml:space="preserve"> </w:t>
      </w:r>
      <w:r>
        <w:t xml:space="preserve">(or confidence in exceeding it).</w:t>
      </w:r>
    </w:p>
    <w:p>
      <w:pPr>
        <w:pStyle w:val="Compact"/>
        <w:numPr>
          <w:ilvl w:val="0"/>
          <w:numId w:val="1002"/>
        </w:numPr>
      </w:pPr>
      <w:r>
        <w:t xml:space="preserve">Progress on the</w:t>
      </w:r>
      <w:r>
        <w:t xml:space="preserve"> </w:t>
      </w:r>
      <w:r>
        <w:rPr>
          <w:b/>
          <w:bCs/>
        </w:rPr>
        <w:t xml:space="preserve">CDU (coolant distribution unit) roadmap</w:t>
      </w:r>
      <w:r>
        <w:t xml:space="preserve"> </w:t>
      </w:r>
      <w:r>
        <w:t xml:space="preserve">— 1MW shipping, 3MW due Q3, 5MW late-2026/early-2027 — and the</w:t>
      </w:r>
      <w:r>
        <w:t xml:space="preserve"> </w:t>
      </w:r>
      <w:r>
        <w:rPr>
          <w:b/>
          <w:bCs/>
        </w:rPr>
        <w:t xml:space="preserve">ZutaCore</w:t>
      </w:r>
      <w:r>
        <w:t xml:space="preserve"> </w:t>
      </w:r>
      <w:r>
        <w:t xml:space="preserve">two-phase liquid-cooling partnership (recently expanded).</w:t>
      </w:r>
    </w:p>
    <w:p>
      <w:pPr>
        <w:pStyle w:val="Compact"/>
        <w:numPr>
          <w:ilvl w:val="0"/>
          <w:numId w:val="1002"/>
        </w:numPr>
      </w:pPr>
      <w:r>
        <w:t xml:space="preserve">The 2H is heavily</w:t>
      </w:r>
      <w:r>
        <w:t xml:space="preserve"> </w:t>
      </w:r>
      <w:r>
        <w:rPr>
          <w:b/>
          <w:bCs/>
        </w:rPr>
        <w:t xml:space="preserve">back-end loaded</w:t>
      </w:r>
      <w:r>
        <w:t xml:space="preserve">, so commentary on execution/capacity to deliver the ramp is critical. QuantumLeap integrated wins were "hundreds of millions" ($300–400M) as of Q1.</w:t>
      </w:r>
    </w:p>
    <w:bookmarkEnd w:id="12"/>
    <w:bookmarkStart w:id="13" w:name="X9b9a619bda5d34b23d6f5308f2f1d4280e2bfd8"/>
    <w:p>
      <w:pPr>
        <w:pStyle w:val="Heading3"/>
      </w:pPr>
      <w:r>
        <w:t xml:space="preserve">2. Residential — is the cycle turning?</w:t>
      </w:r>
    </w:p>
    <w:p>
      <w:pPr>
        <w:pStyle w:val="FirstParagraph"/>
      </w:pPr>
      <w:r>
        <w:t xml:space="preserve">Q1 was a positive surprise: resi movement fell only ~10–12% vs. a feared ~20%, field inventories were lean (down ~35%), and April started better than expected. But management deliberately did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raise the resi guide, citing macro uncertainty and the fact that some April strength was likely</w:t>
      </w:r>
      <w:r>
        <w:t xml:space="preserve"> </w:t>
      </w:r>
      <w:r>
        <w:rPr>
          <w:b/>
          <w:bCs/>
        </w:rPr>
        <w:t xml:space="preserve">pre-buy ahead of the April 27 price increase.</w:t>
      </w:r>
      <w:r>
        <w:t xml:space="preserve"> </w:t>
      </w:r>
      <w:r>
        <w:t xml:space="preserve">With Q2 covering the heart of the cooling season (May/June), this is the quarter that tests whether the improvement is real demand or timing.</w:t>
      </w:r>
    </w:p>
    <w:bookmarkEnd w:id="13"/>
    <w:bookmarkStart w:id="14" w:name="X7a601132ae1db2b5a6b3a447e723205677703e6"/>
    <w:p>
      <w:pPr>
        <w:pStyle w:val="Heading3"/>
      </w:pPr>
      <w:r>
        <w:t xml:space="preserve">3. Tariffs &amp; pricing — will it stick and does mix hurt margins?</w:t>
      </w:r>
    </w:p>
    <w:p>
      <w:pPr>
        <w:pStyle w:val="FirstParagraph"/>
      </w:pPr>
      <w:r>
        <w:t xml:space="preserve">Carrier is putting through</w:t>
      </w:r>
      <w:r>
        <w:t xml:space="preserve"> </w:t>
      </w:r>
      <w:r>
        <w:rPr>
          <w:b/>
          <w:bCs/>
        </w:rPr>
        <w:t xml:space="preserve">~2 points of incremental price</w:t>
      </w:r>
      <w:r>
        <w:t xml:space="preserve"> </w:t>
      </w:r>
      <w:r>
        <w:t xml:space="preserve">to offset</w:t>
      </w:r>
      <w:r>
        <w:t xml:space="preserve"> </w:t>
      </w:r>
      <w:r>
        <w:rPr>
          <w:b/>
          <w:bCs/>
        </w:rPr>
        <w:t xml:space="preserve">$400–450M</w:t>
      </w:r>
      <w:r>
        <w:t xml:space="preserve"> </w:t>
      </w:r>
      <w:r>
        <w:t xml:space="preserve">of higher input costs, ~75% of it Section 232-related, the rest fuel/commodities. Watch: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Price/cost timing:</w:t>
      </w:r>
      <w:r>
        <w:t xml:space="preserve"> </w:t>
      </w:r>
      <w:r>
        <w:t xml:space="preserve">Q2 is expected to be a slight net</w:t>
      </w:r>
      <w:r>
        <w:t xml:space="preserve"> </w:t>
      </w:r>
      <w:r>
        <w:rPr>
          <w:b/>
          <w:bCs/>
        </w:rPr>
        <w:t xml:space="preserve">headwind</w:t>
      </w:r>
      <w:r>
        <w:t xml:space="preserve"> </w:t>
      </w:r>
      <w:r>
        <w:t xml:space="preserve">(LIFO recognizes cost immediately; price lagged the April 6 effective date), turning neutral in Q3–Q4.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Elasticity/share:</w:t>
      </w:r>
      <w:r>
        <w:t xml:space="preserve"> </w:t>
      </w:r>
      <w:r>
        <w:t xml:space="preserve">Whether distributors and dealers are absorbing the increases without volume loss.</w:t>
      </w:r>
    </w:p>
    <w:p>
      <w:pPr>
        <w:pStyle w:val="Compact"/>
        <w:numPr>
          <w:ilvl w:val="0"/>
          <w:numId w:val="1003"/>
        </w:numPr>
      </w:pPr>
      <w:r>
        <w:t xml:space="preserve">Any commentary on</w:t>
      </w:r>
      <w:r>
        <w:t xml:space="preserve"> </w:t>
      </w:r>
      <w:r>
        <w:rPr>
          <w:b/>
          <w:bCs/>
        </w:rPr>
        <w:t xml:space="preserve">232 relief / USMCA</w:t>
      </w:r>
      <w:r>
        <w:t xml:space="preserve"> </w:t>
      </w:r>
      <w:r>
        <w:t xml:space="preserve">— management sounded cautiously optimistic something could change, and if it does, they'd roll back the tariff-related portion of price.</w:t>
      </w:r>
    </w:p>
    <w:bookmarkEnd w:id="14"/>
    <w:bookmarkStart w:id="15" w:name="X0e22b824555c6123cf25fbcfbffc439e4c10d24"/>
    <w:p>
      <w:pPr>
        <w:pStyle w:val="Heading3"/>
      </w:pPr>
      <w:r>
        <w:t xml:space="preserve">4. Full-year guide direction</w:t>
      </w:r>
    </w:p>
    <w:p>
      <w:pPr>
        <w:pStyle w:val="FirstParagraph"/>
      </w:pPr>
      <w:r>
        <w:t xml:space="preserve">FY26 guide stands at</w:t>
      </w:r>
      <w:r>
        <w:t xml:space="preserve"> </w:t>
      </w:r>
      <w:r>
        <w:rPr>
          <w:b/>
          <w:bCs/>
        </w:rPr>
        <w:t xml:space="preserve">~</w:t>
      </w:r>
      <m:oMath>
        <m:r>
          <m:t>22</m:t>
        </m:r>
        <m:r>
          <m:t>B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rPr>
            <m:sty m:val="p"/>
          </m:rPr>
          <m:t>(</m:t>
        </m:r>
        <m:r>
          <m:t>o</m:t>
        </m:r>
        <m:r>
          <m:t>r</m:t>
        </m:r>
        <m:r>
          <m:t>g</m:t>
        </m:r>
        <m:r>
          <m:t>a</m:t>
        </m:r>
        <m:r>
          <m:t>n</m:t>
        </m:r>
        <m:r>
          <m:t>i</m:t>
        </m:r>
        <m:r>
          <m:t>c</m:t>
        </m:r>
        <m:r>
          <m:t>f</m:t>
        </m:r>
        <m:r>
          <m:t>l</m:t>
        </m:r>
        <m:r>
          <m:t>a</m:t>
        </m:r>
        <m:r>
          <m:t>t</m:t>
        </m:r>
        <m:r>
          <m:t>t</m:t>
        </m:r>
        <m:r>
          <m:t>o</m:t>
        </m:r>
        <m:r>
          <m:t>L</m:t>
        </m:r>
        <m:r>
          <m:t>S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 </m:t>
        </m:r>
      </m:oMath>
      <w:r>
        <w:rPr>
          <w:b/>
          <w:bCs/>
        </w:rPr>
        <w:t xml:space="preserve">3.4B adjusted operating profit, ~</w:t>
      </w:r>
      <m:oMath>
        <m:r>
          <m:t>2.80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H</m:t>
        </m:r>
        <m:r>
          <m:t>S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 </m:t>
        </m:r>
      </m:oMath>
      <w:r>
        <w:rPr>
          <w:b/>
          <w:bCs/>
        </w:rPr>
        <w:t xml:space="preserve">2B FCF.</w:t>
      </w:r>
      <w:r>
        <w:t xml:space="preserve"> </w:t>
      </w:r>
      <w:r>
        <w:t xml:space="preserve">After a Q1 beat, they reaffirmed rather than raised — "one quarter in, lots of macro uncertainty." Given the better resi start and data-center momentum, the key question is whether a second consecutive beat prompts an</w:t>
      </w:r>
      <w:r>
        <w:t xml:space="preserve"> </w:t>
      </w:r>
      <w:r>
        <w:rPr>
          <w:b/>
          <w:bCs/>
        </w:rPr>
        <w:t xml:space="preserve">guidance raise</w:t>
      </w:r>
      <w:r>
        <w:t xml:space="preserve">, or whether they again stay conservative into 2H. Note the 2H math is demanding: CSA is expected to post teens growth and "very significant" margin expansion in H2 on data-center volume and easier absorption comps.</w:t>
      </w:r>
    </w:p>
    <w:bookmarkEnd w:id="15"/>
    <w:bookmarkStart w:id="16" w:name="Xf6740a795dd946bd6e98cf15f086c935ea53337"/>
    <w:p>
      <w:pPr>
        <w:pStyle w:val="Heading3"/>
      </w:pPr>
      <w:r>
        <w:t xml:space="preserve">5. Portfolio / capital allocation housekeeping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Riello divestiture</w:t>
      </w:r>
      <w:r>
        <w:t xml:space="preserve"> </w:t>
      </w:r>
      <w:r>
        <w:t xml:space="preserve">was expected to close by end of Q2 (~$250M FY revenue headwind, mostly CSE) — watch for confirmation and any change to the FX/M&amp;A build.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return:</w:t>
      </w:r>
      <w:r>
        <w:t xml:space="preserve"> </w:t>
      </w:r>
      <w:r>
        <w:t xml:space="preserve">~</w:t>
      </w:r>
      <m:oMath>
        <m:r>
          <m:t>500</m:t>
        </m:r>
        <m:r>
          <m:t>M</m:t>
        </m:r>
        <m:r>
          <m:t>r</m:t>
        </m:r>
        <m:r>
          <m:t>e</m:t>
        </m:r>
        <m:r>
          <m:t>t</m:t>
        </m:r>
        <m:r>
          <m:t>u</m:t>
        </m:r>
        <m:r>
          <m:t>r</m:t>
        </m:r>
        <m:r>
          <m:t>n</m:t>
        </m:r>
        <m:r>
          <m:t>e</m:t>
        </m:r>
        <m:r>
          <m:t>d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(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s</m:t>
        </m:r>
        <m:r>
          <m:rPr>
            <m:sty m:val="p"/>
          </m:rPr>
          <m:t>+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rPr>
            <m:sty m:val="p"/>
          </m:rPr>
          <m:t>)</m:t>
        </m:r>
        <m:r>
          <m:rPr>
            <m:sty m:val="p"/>
          </m:rPr>
          <m:t>;</m:t>
        </m:r>
        <m:r>
          <m:t>n</m:t>
        </m:r>
        <m:r>
          <m:t>e</m:t>
        </m:r>
        <m:r>
          <m:t>t</m:t>
        </m:r>
        <m:r>
          <m:t>d</m:t>
        </m:r>
        <m:r>
          <m:t>e</m:t>
        </m:r>
        <m:r>
          <m:t>b</m:t>
        </m:r>
        <m:r>
          <m:t>t</m:t>
        </m:r>
        <m:r>
          <m:t> </m:t>
        </m:r>
      </m:oMath>
      <w:r>
        <w:t xml:space="preserve">10.8B. Watch buyback pace and any M&amp;A appetite (management flagged small "bolt-on" liquid-cooling deals, not billion-dollar plays).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Governance:</w:t>
      </w:r>
      <w:r>
        <w:t xml:space="preserve"> </w:t>
      </w:r>
      <w:r>
        <w:t xml:space="preserve">On July 24, Carrier appointed</w:t>
      </w:r>
      <w:r>
        <w:t xml:space="preserve"> </w:t>
      </w:r>
      <w:r>
        <w:rPr>
          <w:b/>
          <w:bCs/>
        </w:rPr>
        <w:t xml:space="preserve">Neil Barua as an independent director</w:t>
      </w:r>
      <w:r>
        <w:t xml:space="preserve"> </w:t>
      </w:r>
      <w:r>
        <w:t xml:space="preserve">— a positive-signal board refresh, not a fundamental driver.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stock-setup-into-the-print"/>
    <w:p>
      <w:pPr>
        <w:pStyle w:val="Heading2"/>
      </w:pPr>
      <w:r>
        <w:t xml:space="preserve">Stock Setup Into the Print</w:t>
      </w:r>
    </w:p>
    <w:p>
      <w:pPr>
        <w:pStyle w:val="FirstParagraph"/>
      </w:pPr>
      <w:r>
        <w:t xml:space="preserve">CARR has been a strong performer in 2026, rising from ~</w:t>
      </w:r>
      <m:oMath>
        <m:r>
          <m:t>53.5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69 heading into the report — up roughly</w:t>
      </w:r>
      <w:r>
        <w:t xml:space="preserve"> </w:t>
      </w:r>
      <w:r>
        <w:rPr>
          <w:b/>
          <w:bCs/>
        </w:rPr>
        <w:t xml:space="preserve">30% YTD</w:t>
      </w:r>
      <w:r>
        <w:t xml:space="preserve">, aided by data-center enthusiasm. The stock jumped on the Q1 beat (April 30: ~$62 →</w:t>
      </w:r>
      <w:r>
        <w:t xml:space="preserve"> </w:t>
      </w:r>
      <m:oMath>
        <m:r>
          <m:t>67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p</m:t>
        </m:r>
        <m:r>
          <m:t>e</m:t>
        </m:r>
        <m:r>
          <m:t>a</m:t>
        </m:r>
        <m:r>
          <m:t>k</m:t>
        </m:r>
        <m:r>
          <m:t>e</m:t>
        </m:r>
        <m:r>
          <m:t>d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76 in late June** before pulling back ~9% into late July. That pullback suggests some of the AI/data-center optimism has cooled and expectations are elevated but not euphoric. With the Q2 EPS bar well-telegraphed at ~$0.80,</w:t>
      </w:r>
      <w:r>
        <w:t xml:space="preserve"> </w:t>
      </w:r>
      <w:r>
        <w:rPr>
          <w:b/>
          <w:bCs/>
        </w:rPr>
        <w:t xml:space="preserve">the reaction will likely hinge on data-center order/backlog trajectory and any guidance raise</w:t>
      </w:r>
      <w:r>
        <w:t xml:space="preserve"> </w:t>
      </w:r>
      <w:r>
        <w:t xml:space="preserve">rather than the Q2 print itself.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Expect an in-line-to-modest-beat Q2 (~$0.80 EPS, revenue just under $6B, organic down ~low-single-digits). The signal-to-noise is in the forward commentary: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Bullish triggers:</w:t>
      </w:r>
      <w:r>
        <w:t xml:space="preserve"> </w:t>
      </w:r>
      <w:r>
        <w:t xml:space="preserve">Data-center target raised/ahead of plan, resi demand confirming a real inflection, and/or a FY guidance raise.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Watch-outs:</w:t>
      </w:r>
      <w:r>
        <w:t xml:space="preserve"> </w:t>
      </w:r>
      <w:r>
        <w:t xml:space="preserve">Continued China RLC weakness, Middle East drag, price/cost timing pressure in Q2 margins, and any hint that April resi strength was just pre-buy pull-forward.</w:t>
      </w:r>
    </w:p>
    <w:p>
      <w:pPr>
        <w:pStyle w:val="FirstParagraph"/>
      </w:pPr>
      <w:r>
        <w:t xml:space="preserve">Given the stock's ~30% YTD run and recent cooling off the highs, the risk/reward likely favors those looking for evidence that the second-half data-center ramp and margin recovery are on track.</w:t>
      </w:r>
    </w:p>
    <w:p>
      <w:pPr>
        <w:pStyle w:val="BodyText"/>
      </w:pPr>
      <w:r>
        <w:rPr>
          <w:i/>
          <w:iCs/>
        </w:rPr>
        <w:t xml:space="preserve">Note: Figures reflect Carrier's own Q1 2026 disclosures/guidance and pre-earnings Street expectations; actuals and any guidance changes will be confirmed on the July 28 call.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2026-07-28T00:03:30Z</dcterms:created>
  <dcterms:modified xsi:type="dcterms:W3CDTF">2026-07-28T00:03:30Z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