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24f119bbbe01034dd36f219184774d14ab860be"/>
    <w:p>
      <w:pPr>
        <w:pStyle w:val="Heading1"/>
      </w:pPr>
      <w:r>
        <w:t xml:space="preserve">Carrier Global (CARR) — Q2 2026 Earnings Preview</w:t>
      </w:r>
    </w:p>
    <w:p>
      <w:pPr>
        <w:pStyle w:val="FirstParagraph"/>
      </w:pPr>
      <w:r>
        <w:rPr>
          <w:b/>
          <w:bCs/>
        </w:rPr>
        <w:t xml:space="preserve">Report Date:</w:t>
      </w:r>
      <w:r>
        <w:t xml:space="preserve"> </w:t>
      </w:r>
      <w:r>
        <w:t xml:space="preserve">Tuesday, July 28, 2026 (before market open) |</w:t>
      </w:r>
      <w:r>
        <w:t xml:space="preserve"> </w:t>
      </w:r>
      <w:r>
        <w:rPr>
          <w:b/>
          <w:bCs/>
        </w:rPr>
        <w:t xml:space="preserve">Current Price:</w:t>
      </w:r>
      <w:r>
        <w:t xml:space="preserve"> </w:t>
      </w:r>
      <w:r>
        <w:t xml:space="preserve">~$69.35 (7/27 close) |</w:t>
      </w:r>
      <w:r>
        <w:t xml:space="preserve"> </w:t>
      </w:r>
      <w:r>
        <w:rPr>
          <w:b/>
          <w:bCs/>
        </w:rPr>
        <w:t xml:space="preserve">Event:</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Carrier shares have had a strong 2026, rallying from the low-$50s in January to a 52-week high near</w:t>
      </w:r>
      <w:r>
        <w:t xml:space="preserve"> </w:t>
      </w:r>
      <m:oMath>
        <m:r>
          <m:t>76</m:t>
        </m:r>
        <m:r>
          <m:t>i</m:t>
        </m:r>
        <m:r>
          <m:t>n</m:t>
        </m:r>
        <m:r>
          <m:t>l</m:t>
        </m:r>
        <m:r>
          <m:t>a</m:t>
        </m:r>
        <m:r>
          <m:t>t</m:t>
        </m:r>
        <m:r>
          <m:t>e</m:t>
        </m:r>
        <m:r>
          <m:t>J</m:t>
        </m:r>
        <m:r>
          <m:t>u</m:t>
        </m:r>
        <m:r>
          <m:t>n</m:t>
        </m:r>
        <m:r>
          <m:t>e</m:t>
        </m:r>
        <m:r>
          <m:t>b</m:t>
        </m:r>
        <m:r>
          <m:t>e</m:t>
        </m:r>
        <m:r>
          <m:t>f</m:t>
        </m:r>
        <m:r>
          <m:t>o</m:t>
        </m:r>
        <m:r>
          <m:t>r</m:t>
        </m:r>
        <m:r>
          <m:t>e</m:t>
        </m:r>
        <m:r>
          <m:t>p</m:t>
        </m:r>
        <m:r>
          <m:t>u</m:t>
        </m:r>
        <m:r>
          <m:t>l</m:t>
        </m:r>
        <m:r>
          <m:t>l</m:t>
        </m:r>
        <m:r>
          <m:t>i</m:t>
        </m:r>
        <m:r>
          <m:t>n</m:t>
        </m:r>
        <m:r>
          <m:t>g</m:t>
        </m:r>
        <m:r>
          <m:t>b</m:t>
        </m:r>
        <m:r>
          <m:t>a</m:t>
        </m:r>
        <m:r>
          <m:t>c</m:t>
        </m:r>
        <m:r>
          <m:t>k</m:t>
        </m:r>
        <m:r>
          <m:t>t</m:t>
        </m:r>
        <m:r>
          <m:t>o</m:t>
        </m:r>
        <m:r>
          <m:t>t</m:t>
        </m:r>
        <m:r>
          <m:t>h</m:t>
        </m:r>
        <m:r>
          <m:t>e</m:t>
        </m:r>
        <m:r>
          <m:t>h</m:t>
        </m:r>
        <m:r>
          <m:t>i</m:t>
        </m:r>
        <m:r>
          <m:t>g</m:t>
        </m:r>
        <m:r>
          <m:t>h</m:t>
        </m:r>
        <m:r>
          <m:rPr>
            <m:sty m:val="p"/>
          </m:rPr>
          <m:t>−</m:t>
        </m:r>
      </m:oMath>
      <w:r>
        <w:t xml:space="preserve">60s heading into tomorrow's report — still up roughly 30% year-to-date. The stock's run has been driven largely by the data center cooling narrative and a Q1 beat-and-reaffirm print (shares jumped ~9% on April 30 after Q1 results). Sell-side sentiment remains constructive: analysts carry a consensus "Buy" rating with price targets clustered around</w:t>
      </w:r>
      <w:r>
        <w:t xml:space="preserve"> </w:t>
      </w:r>
      <m:oMath>
        <m:r>
          <m:t>73</m:t>
        </m:r>
        <m:r>
          <m:rPr>
            <m:sty m:val="p"/>
          </m:rPr>
          <m:t>–</m:t>
        </m:r>
      </m:oMath>
      <w:r>
        <w:t xml:space="preserve">75, implying modest upside from current levels. The key tension going into Q2: can data center/commercial momentum keep offsetting soft residential and China trends, and will tariff-driven pricing hold margins together?</w:t>
      </w:r>
    </w:p>
    <w:bookmarkEnd w:id="9"/>
    <w:bookmarkStart w:id="10" w:name="X981deddc1a848b387888e6bcfbd423f5e538375"/>
    <w:p>
      <w:pPr>
        <w:pStyle w:val="Heading2"/>
      </w:pPr>
      <w:r>
        <w:t xml:space="preserve">2. What Wall Street Expects</w:t>
      </w:r>
    </w:p>
    <w:p>
      <w:pPr>
        <w:pStyle w:val="Compact"/>
        <w:numPr>
          <w:ilvl w:val="0"/>
          <w:numId w:val="1001"/>
        </w:numPr>
      </w:pPr>
      <w:r>
        <w:rPr>
          <w:b/>
          <w:bCs/>
        </w:rPr>
        <w:t xml:space="preserve">EPS:</w:t>
      </w:r>
      <w:r>
        <w:t xml:space="preserve"> </w:t>
      </w:r>
      <w:r>
        <w:t xml:space="preserve">Consensus sits around</w:t>
      </w:r>
      <w:r>
        <w:t xml:space="preserve"> </w:t>
      </w:r>
      <w:r>
        <w:rPr>
          <w:b/>
          <w:bCs/>
        </w:rPr>
        <w:t xml:space="preserve">$0.83</w:t>
      </w:r>
      <w:r>
        <w:t xml:space="preserve"> </w:t>
      </w:r>
      <w:r>
        <w:t xml:space="preserve">(adjusted), which would be a ~10% decline versus $0.92 in Q2 2025.</w:t>
      </w:r>
    </w:p>
    <w:p>
      <w:pPr>
        <w:pStyle w:val="Compact"/>
        <w:numPr>
          <w:ilvl w:val="0"/>
          <w:numId w:val="1001"/>
        </w:numPr>
      </w:pPr>
      <w:r>
        <w:rPr>
          <w:b/>
          <w:bCs/>
        </w:rPr>
        <w:t xml:space="preserve">Revenue:</w:t>
      </w:r>
      <w:r>
        <w:t xml:space="preserve"> </w:t>
      </w:r>
      <w:r>
        <w:t xml:space="preserve">Consensus is roughly</w:t>
      </w:r>
      <w:r>
        <w:t xml:space="preserve"> </w:t>
      </w:r>
      <w:r>
        <w:rPr>
          <w:b/>
          <w:bCs/>
        </w:rPr>
        <w:t xml:space="preserve">$6.0 billion</w:t>
      </w:r>
      <w:r>
        <w:t xml:space="preserve">, down modestly (~1–2%) year-over-year, reflecting continued weakness in Americas/China residential and light commercial, partially offset by Europe heat pump strength and commercial/data center growth.</w:t>
      </w:r>
    </w:p>
    <w:p>
      <w:pPr>
        <w:pStyle w:val="Compact"/>
        <w:numPr>
          <w:ilvl w:val="0"/>
          <w:numId w:val="1001"/>
        </w:numPr>
      </w:pPr>
      <w:r>
        <w:rPr>
          <w:b/>
          <w:bCs/>
        </w:rPr>
        <w:t xml:space="preserve">Full-year:</w:t>
      </w:r>
      <w:r>
        <w:t xml:space="preserve"> </w:t>
      </w:r>
      <w:r>
        <w:t xml:space="preserve">Street estimates for FY2026 EPS are around</w:t>
      </w:r>
      <w:r>
        <w:t xml:space="preserve"> </w:t>
      </w:r>
      <w:r>
        <w:rPr>
          <w:b/>
          <w:bCs/>
        </w:rPr>
        <w:t xml:space="preserve">$2.79</w:t>
      </w:r>
      <w:r>
        <w:t xml:space="preserve">, roughly in line with Carrier's own guide of "approximately $2.80."</w:t>
      </w:r>
    </w:p>
    <w:p>
      <w:pPr>
        <w:pStyle w:val="Compact"/>
        <w:numPr>
          <w:ilvl w:val="0"/>
          <w:numId w:val="1001"/>
        </w:numPr>
      </w:pPr>
      <w:r>
        <w:t xml:space="preserve">Notably, Carrier has beaten consensus EPS in three of the last four quarters (with an average surprise near 8%), but has more frequently missed on the top line, so the market will be watching organic growth quality as much as the EPS beat/miss itself.</w:t>
      </w:r>
    </w:p>
    <w:bookmarkEnd w:id="10"/>
    <w:bookmarkStart w:id="11" w:name="X1cc1228f26b6ef92f52aa9504d48ad2270af19b"/>
    <w:p>
      <w:pPr>
        <w:pStyle w:val="Heading2"/>
      </w:pPr>
      <w:r>
        <w:t xml:space="preserve">3. Company's Own Q2 Guidance (Set at Q1 Call)</w:t>
      </w:r>
    </w:p>
    <w:p>
      <w:pPr>
        <w:pStyle w:val="FirstParagraph"/>
      </w:pPr>
      <w:r>
        <w:t xml:space="preserve">Management gave fairly specific color on the quarter during the Q1 call:</w:t>
      </w:r>
    </w:p>
    <w:p>
      <w:pPr>
        <w:pStyle w:val="Compact"/>
        <w:numPr>
          <w:ilvl w:val="0"/>
          <w:numId w:val="1002"/>
        </w:numPr>
      </w:pPr>
      <w:r>
        <w:t xml:space="preserve">Q2 revenue expected</w:t>
      </w:r>
      <w:r>
        <w:t xml:space="preserve"> </w:t>
      </w:r>
      <w:r>
        <w:rPr>
          <w:b/>
          <w:bCs/>
        </w:rPr>
        <w:t xml:space="preserve">"just below $6 billion,"</w:t>
      </w:r>
      <w:r>
        <w:t xml:space="preserve"> </w:t>
      </w:r>
      <w:r>
        <w:t xml:space="preserve">including roughly $100 million of incremental Riello contribution and about 2 points of incremental global pricing to offset input costs.</w:t>
      </w:r>
    </w:p>
    <w:p>
      <w:pPr>
        <w:pStyle w:val="Compact"/>
        <w:numPr>
          <w:ilvl w:val="0"/>
          <w:numId w:val="1002"/>
        </w:numPr>
      </w:pPr>
      <w:r>
        <w:t xml:space="preserve">Operating margin guided to</w:t>
      </w:r>
      <w:r>
        <w:t xml:space="preserve"> </w:t>
      </w:r>
      <w:r>
        <w:rPr>
          <w:b/>
          <w:bCs/>
        </w:rPr>
        <w:t xml:space="preserve">~17%</w:t>
      </w:r>
      <w:r>
        <w:t xml:space="preserve">, a</w:t>
      </w:r>
      <w:r>
        <w:t xml:space="preserve"> </w:t>
      </w:r>
      <w:r>
        <w:rPr>
          <w:b/>
          <w:bCs/>
        </w:rPr>
        <w:t xml:space="preserve">24% tax rate</w:t>
      </w:r>
      <w:r>
        <w:t xml:space="preserve">, and</w:t>
      </w:r>
      <w:r>
        <w:t xml:space="preserve"> </w:t>
      </w:r>
      <w:r>
        <w:rPr>
          <w:b/>
          <w:bCs/>
        </w:rPr>
        <w:t xml:space="preserve">~$0.80 adjusted EPS</w:t>
      </w:r>
      <w:r>
        <w:t xml:space="preserve">.</w:t>
      </w:r>
    </w:p>
    <w:p>
      <w:pPr>
        <w:pStyle w:val="Compact"/>
        <w:numPr>
          <w:ilvl w:val="0"/>
          <w:numId w:val="1002"/>
        </w:numPr>
      </w:pPr>
      <w:r>
        <w:t xml:space="preserve">By segment: Americas organic sales down mid-single digits with margins around</w:t>
      </w:r>
      <w:r>
        <w:t xml:space="preserve"> </w:t>
      </w:r>
      <w:r>
        <w:rPr>
          <w:b/>
          <w:bCs/>
        </w:rPr>
        <w:t xml:space="preserve">24%</w:t>
      </w:r>
      <w:r>
        <w:t xml:space="preserve"> </w:t>
      </w:r>
      <w:r>
        <w:t xml:space="preserve">(up sequentially from Q1's 15% on seasonal ramp); Europe organic sales up low-single digits with margins near</w:t>
      </w:r>
      <w:r>
        <w:t xml:space="preserve"> </w:t>
      </w:r>
      <w:r>
        <w:rPr>
          <w:b/>
          <w:bCs/>
        </w:rPr>
        <w:t xml:space="preserve">10%</w:t>
      </w:r>
      <w:r>
        <w:t xml:space="preserve">; Asia down low-single digits with margins near</w:t>
      </w:r>
      <w:r>
        <w:t xml:space="preserve"> </w:t>
      </w:r>
      <w:r>
        <w:rPr>
          <w:b/>
          <w:bCs/>
        </w:rPr>
        <w:t xml:space="preserve">12%</w:t>
      </w:r>
      <w:r>
        <w:t xml:space="preserve">; Transportation down low-single digits with margins in the mid-teens.</w:t>
      </w:r>
    </w:p>
    <w:p>
      <w:pPr>
        <w:pStyle w:val="Compact"/>
        <w:numPr>
          <w:ilvl w:val="0"/>
          <w:numId w:val="1002"/>
        </w:numPr>
      </w:pPr>
      <w:r>
        <w:t xml:space="preserve">Free cash flow: normal seasonality implying a "few hundred million" of generation in the quarter, after a Q1 outflow of $15 million.</w:t>
      </w:r>
    </w:p>
    <w:bookmarkEnd w:id="11"/>
    <w:bookmarkStart w:id="12" w:name="Xa20914b9d0cc3e0bb54bf3b170633a86e3eced9"/>
    <w:p>
      <w:pPr>
        <w:pStyle w:val="Heading2"/>
      </w:pPr>
      <w:r>
        <w:t xml:space="preserve">4. Key Storylines to Watch</w:t>
      </w:r>
    </w:p>
    <w:p>
      <w:pPr>
        <w:pStyle w:val="FirstParagraph"/>
      </w:pPr>
      <w:r>
        <w:rPr>
          <w:b/>
          <w:bCs/>
        </w:rPr>
        <w:t xml:space="preserve">Data centers — the core growth engine.</w:t>
      </w:r>
      <w:r>
        <w:t xml:space="preserve"> </w:t>
      </w:r>
      <w:r>
        <w:t xml:space="preserve">Q1 data center orders were up over 500%, and backlog already</w:t>
      </w:r>
      <w:r>
        <w:t xml:space="preserve"> </w:t>
      </w:r>
      <w:r>
        <w:rPr>
          <w:b/>
          <w:bCs/>
        </w:rPr>
        <w:t xml:space="preserve">fully covers the $1.5 billion 2026 sales target</w:t>
      </w:r>
      <w:r>
        <w:t xml:space="preserve">, with management targeting to exceed that figure. The QuantumLeap integrated offering (chillers, CDUs, Nlyte DCIM, building management, digital twins) has won hundreds of millions in orders since launch roughly a year ago, and Carrier is rolling out its own CDU lineup (1MW shipping now, 3MW due Q3, 5MW by year-end/early 2027) alongside an expanded ZutaCore partnership for two-phase liquid cooling. Since data center growth is heavily second-half weighted, investors should watch for confirmation that the ramp is tracking and whether backlog visibility extends further into 2027.</w:t>
      </w:r>
    </w:p>
    <w:p>
      <w:pPr>
        <w:pStyle w:val="BodyText"/>
      </w:pPr>
      <w:r>
        <w:rPr>
          <w:b/>
          <w:bCs/>
        </w:rPr>
        <w:t xml:space="preserve">Tariffs and pricing.</w:t>
      </w:r>
      <w:r>
        <w:t xml:space="preserve"> </w:t>
      </w:r>
      <w:r>
        <w:t xml:space="preserve">Section 232-related input cost increases prompted Carrier to add roughly 2 additional points of global pricing this year (about 75% tied to Section 232, 25% to fuel/other commodities), targeting a dollar-for-dollar offset (~$400–450 million). Management flagged a temporary Q2 gap between when tariff costs hit (LIFO accounting) and when price realization catches up, with the two expected to align by Q3/Q4. Separately, tariff policy itself has kept moving — Section 232 metals tariffs affecting HVAC systems and components were revised effective June 8, with a USMCA-qualifying goods floor and adjusted origin thresholds — so investors should listen for any updated pricing/cost commentary reflecting these changes and any signs of pushback from distributors/dealers on price increases.</w:t>
      </w:r>
    </w:p>
    <w:p>
      <w:pPr>
        <w:pStyle w:val="BodyText"/>
      </w:pPr>
      <w:r>
        <w:rPr>
          <w:b/>
          <w:bCs/>
        </w:rPr>
        <w:t xml:space="preserve">U.S. residential HVAC — bottoming or still bumpy?</w:t>
      </w:r>
      <w:r>
        <w:t xml:space="preserve"> </w:t>
      </w:r>
      <w:r>
        <w:t xml:space="preserve">Q1 showed CSA Residential organic sales down ~12% but better than the ~20% decline initially feared, with field inventories still down ~35% year-over-year (a positive setup for the peak cooling season). Management cited early-April strength that may have partly reflected pre-buying ahead of an April 27 price increase. The critical read-through for Q2 is whether May/June sell-through data confirms a genuine, if modest, recovery in "movement" or whether pull-forward reverses into softer trends.</w:t>
      </w:r>
    </w:p>
    <w:p>
      <w:pPr>
        <w:pStyle w:val="BodyText"/>
      </w:pPr>
      <w:r>
        <w:rPr>
          <w:b/>
          <w:bCs/>
        </w:rPr>
        <w:t xml:space="preserve">Europe (CSE) — heat pump inflection, margin repair.</w:t>
      </w:r>
      <w:r>
        <w:t xml:space="preserve"> </w:t>
      </w:r>
      <w:r>
        <w:t xml:space="preserve">Q1 showed an encouraging heat pump demand signal tied to Germany's electricity-to-gas price ratio falling below 3 for the first time since early 2023, but segment margins disappointed due to heavier-than-planned promotional activity. Management said pricing/surcharges effective April 1 and cost actions should restore ~100 bps of margin for the full year — Q2 margin guidance of ~10% will be an early test of that recovery.</w:t>
      </w:r>
    </w:p>
    <w:p>
      <w:pPr>
        <w:pStyle w:val="BodyText"/>
      </w:pPr>
      <w:r>
        <w:rPr>
          <w:b/>
          <w:bCs/>
        </w:rPr>
        <w:t xml:space="preserve">China and CSAME.</w:t>
      </w:r>
      <w:r>
        <w:t xml:space="preserve"> </w:t>
      </w:r>
      <w:r>
        <w:t xml:space="preserve">China residential/light commercial remains a drag (RLC sales down ~25% in Q1), with no clear bottom identified, though commercial strength outside China (India, Australia) and Middle East data center opportunities provide some offset. Middle East conflict-related softness also cut into CSAME margin guidance (~50 bps full-year headwind), which management expects to be offset by better Transportation margins.</w:t>
      </w:r>
    </w:p>
    <w:p>
      <w:pPr>
        <w:pStyle w:val="BodyText"/>
      </w:pPr>
      <w:r>
        <w:rPr>
          <w:b/>
          <w:bCs/>
        </w:rPr>
        <w:t xml:space="preserve">Transportation.</w:t>
      </w:r>
      <w:r>
        <w:t xml:space="preserve"> </w:t>
      </w:r>
      <w:r>
        <w:t xml:space="preserve">Container has been a standout (+38% organic in Q1) while Global Truck &amp; Trailer remains weak; management still expects roughly flat performance for the segment for the year, with Container likely finishing better than plan and NATT likely finishing worse.</w:t>
      </w:r>
    </w:p>
    <w:p>
      <w:pPr>
        <w:pStyle w:val="BodyText"/>
      </w:pPr>
      <w:r>
        <w:rPr>
          <w:b/>
          <w:bCs/>
        </w:rPr>
        <w:t xml:space="preserve">Capital allocation and governance.</w:t>
      </w:r>
      <w:r>
        <w:t xml:space="preserve"> </w:t>
      </w:r>
      <w:r>
        <w:t xml:space="preserve">Carrier returned about $500 million to shareholders via dividends and buybacks in Q1, and the full-year outlook still calls for roughly $2 billion of free cash flow. Separately, on July 24 Carrier announced the appointment of Neil Barua as an independent director — a minor governance item but worth noting given the timing right before earnings.</w:t>
      </w:r>
    </w:p>
    <w:p>
      <w:pPr>
        <w:pStyle w:val="BodyText"/>
      </w:pPr>
      <w:r>
        <w:rPr>
          <w:b/>
          <w:bCs/>
        </w:rPr>
        <w:t xml:space="preserve">Litigation.</w:t>
      </w:r>
      <w:r>
        <w:t xml:space="preserve"> </w:t>
      </w:r>
      <w:r>
        <w:t xml:space="preserve">Management has called a residential HVAC manufacturer antitrust suit "meritless" and stated intent to defend vigorously; not expected to be financially material near-term but worth monitoring for any updates.</w:t>
      </w:r>
    </w:p>
    <w:bookmarkEnd w:id="12"/>
    <w:bookmarkStart w:id="13" w:name="X941d2e5d199fbaea042bae42185403bda62b2b0"/>
    <w:p>
      <w:pPr>
        <w:pStyle w:val="Heading2"/>
      </w:pPr>
      <w:r>
        <w:t xml:space="preserve">5. Full-Year 2026 Guidance (Reaffirmed at Q1, Base Case for Tomorrow)</w:t>
      </w:r>
    </w:p>
    <w:p>
      <w:pPr>
        <w:pStyle w:val="Compact"/>
        <w:numPr>
          <w:ilvl w:val="0"/>
          <w:numId w:val="1003"/>
        </w:numPr>
      </w:pPr>
      <w:r>
        <w:t xml:space="preserve">Sales: ~</w:t>
      </w:r>
      <m:oMath>
        <m:r>
          <m:t>22</m:t>
        </m:r>
        <m:r>
          <m:t>b</m:t>
        </m:r>
        <m:r>
          <m:t>i</m:t>
        </m:r>
        <m:r>
          <m:t>l</m:t>
        </m:r>
        <m:r>
          <m:t>l</m:t>
        </m:r>
        <m:r>
          <m:t>i</m:t>
        </m:r>
        <m:r>
          <m:t>o</m:t>
        </m:r>
        <m:r>
          <m:t>n</m:t>
        </m:r>
        <m:r>
          <m:rPr>
            <m:sty m:val="p"/>
          </m:rPr>
          <m:t>(</m:t>
        </m:r>
        <m:r>
          <m:t>o</m:t>
        </m:r>
        <m:r>
          <m:t>r</m:t>
        </m:r>
        <m:r>
          <m:t>g</m:t>
        </m:r>
        <m:r>
          <m:t>a</m:t>
        </m:r>
        <m:r>
          <m:t>n</m:t>
        </m:r>
        <m:r>
          <m:t>i</m:t>
        </m:r>
        <m:r>
          <m:t>c</m:t>
        </m:r>
        <m:r>
          <m:t>f</m:t>
        </m:r>
        <m:r>
          <m:t>l</m:t>
        </m:r>
        <m:r>
          <m:t>a</m:t>
        </m:r>
        <m:r>
          <m:t>t</m:t>
        </m:r>
        <m:r>
          <m:t>t</m:t>
        </m:r>
        <m:r>
          <m:t>o</m:t>
        </m:r>
        <m:r>
          <m:t>u</m:t>
        </m:r>
        <m:r>
          <m:t>p</m:t>
        </m:r>
        <m:r>
          <m:t>l</m:t>
        </m:r>
        <m:r>
          <m:t>o</m:t>
        </m:r>
        <m:r>
          <m:t>w</m:t>
        </m:r>
        <m:r>
          <m:rPr>
            <m:sty m:val="p"/>
          </m:rPr>
          <m:t>−</m:t>
        </m:r>
        <m:r>
          <m:t>s</m:t>
        </m:r>
        <m:r>
          <m:t>i</m:t>
        </m:r>
        <m:r>
          <m:t>n</m:t>
        </m:r>
        <m:r>
          <m:t>g</m:t>
        </m:r>
        <m:r>
          <m:t>l</m:t>
        </m:r>
        <m:r>
          <m:t>e</m:t>
        </m:r>
        <m:r>
          <m:t>d</m:t>
        </m:r>
        <m:r>
          <m:t>i</m:t>
        </m:r>
        <m:r>
          <m:t>g</m:t>
        </m:r>
        <m:r>
          <m:t>i</m:t>
        </m:r>
        <m:r>
          <m:t>t</m:t>
        </m:r>
        <m:r>
          <m:t>s</m:t>
        </m:r>
        <m:r>
          <m:rPr>
            <m:sty m:val="p"/>
          </m:rPr>
          <m:t>)</m:t>
        </m:r>
        <m:r>
          <m:rPr>
            <m:sty m:val="p"/>
          </m:rPr>
          <m:t>,</m:t>
        </m:r>
        <m:r>
          <m:t>w</m:t>
        </m:r>
        <m:r>
          <m:t>i</m:t>
        </m:r>
        <m:r>
          <m:t>t</m:t>
        </m:r>
        <m:r>
          <m:t>h</m:t>
        </m:r>
        <m:r>
          <m:t>a</m:t>
        </m:r>
        <m:r>
          <m:t>r</m:t>
        </m:r>
        <m:r>
          <m:t>e</m:t>
        </m:r>
        <m:r>
          <m:t>d</m:t>
        </m:r>
        <m:r>
          <m:t>u</m:t>
        </m:r>
        <m:r>
          <m:t>c</m:t>
        </m:r>
        <m:r>
          <m:t>e</m:t>
        </m:r>
        <m:r>
          <m:t>d</m:t>
        </m:r>
        <m:r>
          <m:t> </m:t>
        </m:r>
      </m:oMath>
      <w:r>
        <w:t xml:space="preserve">250 million Riello divestiture headwind (down from $350 million as the deal timeline shifted to closing by end of Q2 rather than Q1).</w:t>
      </w:r>
    </w:p>
    <w:p>
      <w:pPr>
        <w:pStyle w:val="Compact"/>
        <w:numPr>
          <w:ilvl w:val="0"/>
          <w:numId w:val="1003"/>
        </w:numPr>
      </w:pPr>
      <w:r>
        <w:t xml:space="preserve">Adjusted operating profit: ~$3.4 billion</w:t>
      </w:r>
    </w:p>
    <w:p>
      <w:pPr>
        <w:pStyle w:val="Compact"/>
        <w:numPr>
          <w:ilvl w:val="0"/>
          <w:numId w:val="1003"/>
        </w:numPr>
      </w:pPr>
      <w:r>
        <w:t xml:space="preserve">Adjusted EPS: ~$2.80 (up high-single digits versus 2025's $2.59)</w:t>
      </w:r>
    </w:p>
    <w:p>
      <w:pPr>
        <w:pStyle w:val="Compact"/>
        <w:numPr>
          <w:ilvl w:val="0"/>
          <w:numId w:val="1003"/>
        </w:numPr>
      </w:pPr>
      <w:r>
        <w:t xml:space="preserve">Free cash flow: ~$2 billion</w:t>
      </w:r>
    </w:p>
    <w:p>
      <w:pPr>
        <w:pStyle w:val="FirstParagraph"/>
      </w:pPr>
      <w:r>
        <w:t xml:space="preserve">The key question for tomorrow is whether these full-year targets get reaffirmed, raised, or trimmed given the moving pieces on tariffs, China, and residential demand — a straight reaffirmation would likely be read as a modest positive given the cross-currents.</w:t>
      </w:r>
    </w:p>
    <w:bookmarkEnd w:id="13"/>
    <w:bookmarkStart w:id="14" w:name="X49e34d9056703e0521ab3ce2e920b2c4ba97a36"/>
    <w:p>
      <w:pPr>
        <w:pStyle w:val="Heading2"/>
      </w:pPr>
      <w:r>
        <w:t xml:space="preserve">6. Bottom Line</w:t>
      </w:r>
    </w:p>
    <w:p>
      <w:pPr>
        <w:pStyle w:val="FirstParagraph"/>
      </w:pPr>
      <w:r>
        <w:t xml:space="preserve">Carrier goes into Q2 with a "barbell" story: secular, high-margin growth in commercial HVAC/data centers and aftermarket services is offsetting cyclical softness in residential and light commercial, especially in the Americas and China. The stock's strong 2026 run reflects growing investor confidence in the data center thesis, but also leaves less room for error — consensus already bakes in a ~10% EPS decline and roughly flat-to-down revenue. Investors should focus less on the headline EPS beat/miss and more on: (1) data center order/backlog trajectory beyond the $1.5B target, (2) confirmation of genuine (not just pre-buy driven) residential demand recovery, (3) whether Europe margins repair as promised, (4) evidence that 2 points of incremental pricing is sticking without volume/share erosion, and (5) any change in full-year guidance given tariff and China uncertainty.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2026-07-28T00:08:57Z</dcterms:created>
  <dcterms:modified xsi:type="dcterms:W3CDTF">2026-07-28T00:08:57Z</dcterms:modified>
</cp:coreProperties>
</file>

<file path=docProps/custom.xml><?xml version="1.0" encoding="utf-8"?>
<Properties xmlns="http://schemas.openxmlformats.org/officeDocument/2006/custom-properties" xmlns:vt="http://schemas.openxmlformats.org/officeDocument/2006/docPropsVTypes"/>
</file>