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24f119bbbe01034dd36f219184774d14ab860be"/>
    <w:p>
      <w:pPr>
        <w:pStyle w:val="Heading1"/>
      </w:pPr>
      <w:r>
        <w:t xml:space="preserve">Carrier Global (CARR)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July 28, 2026, before the market opens</w:t>
      </w:r>
      <w:r>
        <w:br/>
      </w:r>
      <w:r>
        <w:rPr>
          <w:b/>
          <w:bCs/>
        </w:rPr>
        <w:t xml:space="preserve">Earnings call:</w:t>
      </w:r>
      <w:r>
        <w:t xml:space="preserve"> </w:t>
      </w:r>
      <w:r>
        <w:t xml:space="preserve">7:30 a.m. ET</w:t>
      </w:r>
      <w:r>
        <w:br/>
      </w:r>
      <w:r>
        <w:rPr>
          <w:b/>
          <w:bCs/>
        </w:rPr>
        <w:t xml:space="preserve">Last close:</w:t>
      </w:r>
      <w:r>
        <w:t xml:space="preserve"> </w:t>
      </w:r>
      <w:r>
        <w:t xml:space="preserve">$69.35 on July 27</w:t>
      </w:r>
    </w:p>
    <w:bookmarkStart w:id="9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Carrier enters Q2 with unusually strong momentum in commercial HVAC—particularly data-center cooling—while its residential and light-commercial businesses appear to be performing better than management originally feared.</w:t>
      </w:r>
    </w:p>
    <w:p>
      <w:pPr>
        <w:pStyle w:val="BodyText"/>
      </w:pPr>
      <w:r>
        <w:t xml:space="preserve">The near-term numbers should be relatively well anchored. In early June, CEO David Gitlin said Carrier was comfortable with approximately</w:t>
      </w:r>
      <w:r>
        <w:t xml:space="preserve"> </w:t>
      </w:r>
      <w:r>
        <w:rPr>
          <w:b/>
          <w:bCs/>
        </w:rPr>
        <w:t xml:space="preserve">$6 billion of revenue and $0.80 of adjusted EPS</w:t>
      </w:r>
      <w:r>
        <w:t xml:space="preserve"> </w:t>
      </w:r>
      <w:r>
        <w:t xml:space="preserve">for Q2. The more important questions tomorrow will be:</w:t>
      </w:r>
    </w:p>
    <w:p>
      <w:pPr>
        <w:pStyle w:val="Compact"/>
        <w:numPr>
          <w:ilvl w:val="0"/>
          <w:numId w:val="1001"/>
        </w:numPr>
      </w:pPr>
      <w:r>
        <w:t xml:space="preserve">How much stronger have data-center orders become?</w:t>
      </w:r>
    </w:p>
    <w:p>
      <w:pPr>
        <w:pStyle w:val="Compact"/>
        <w:numPr>
          <w:ilvl w:val="0"/>
          <w:numId w:val="1001"/>
        </w:numPr>
      </w:pPr>
      <w:r>
        <w:t xml:space="preserve">Can Carrier execute the steep second-half delivery ramp?</w:t>
      </w:r>
    </w:p>
    <w:p>
      <w:pPr>
        <w:pStyle w:val="Compact"/>
        <w:numPr>
          <w:ilvl w:val="0"/>
          <w:numId w:val="1001"/>
        </w:numPr>
      </w:pPr>
      <w:r>
        <w:t xml:space="preserve">Is North American residential HVAC genuinely bottoming, or did pricing and weather merely pull demand forward?</w:t>
      </w:r>
    </w:p>
    <w:p>
      <w:pPr>
        <w:pStyle w:val="Compact"/>
        <w:numPr>
          <w:ilvl w:val="0"/>
          <w:numId w:val="1001"/>
        </w:numPr>
      </w:pPr>
      <w:r>
        <w:t xml:space="preserve">How much margin pressure remains from tariffs, commodities and unfavorable mix?</w:t>
      </w:r>
    </w:p>
    <w:p>
      <w:pPr>
        <w:pStyle w:val="Compact"/>
        <w:numPr>
          <w:ilvl w:val="0"/>
          <w:numId w:val="1001"/>
        </w:numPr>
      </w:pPr>
      <w:r>
        <w:t xml:space="preserve">Does management raise—or at least move toward the upper end of—its 2026 outlook?</w:t>
      </w:r>
    </w:p>
    <w:p>
      <w:pPr>
        <w:pStyle w:val="FirstParagraph"/>
      </w:pPr>
      <w:r>
        <w:t xml:space="preserve">My bias is that the report should be operationally constructive. However, the stock has already rerated substantially, making</w:t>
      </w:r>
      <w:r>
        <w:t xml:space="preserve"> </w:t>
      </w:r>
      <w:r>
        <w:rPr>
          <w:b/>
          <w:bCs/>
        </w:rPr>
        <w:t xml:space="preserve">orders, margins and forward commentary more important than a small EPS beat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0" w:name="the-setup"/>
    <w:p>
      <w:pPr>
        <w:pStyle w:val="Heading2"/>
      </w:pPr>
      <w:r>
        <w:t xml:space="preserve">The setup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Management:</w:t>
            </w:r>
            <w:r>
              <w:t xml:space="preserve"> </w:t>
            </w:r>
            <w:r>
              <w:rPr>
                <w:b/>
                <w:bCs/>
              </w:rPr>
              <w:t xml:space="preserve">~</w:t>
            </w:r>
            <m:oMath>
              <m:r>
                <m:t>0.80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;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t> </m:t>
              </m:r>
            </m:oMath>
            <w:r>
              <w:rPr>
                <w:b/>
                <w:bCs/>
              </w:rPr>
              <w:t xml:space="preserve">0.81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Just below $6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 previously indicated flat to down low single digits; Street around</w:t>
            </w:r>
            <w:r>
              <w:t xml:space="preserve"> </w:t>
            </w:r>
            <w:r>
              <w:rPr>
                <w:b/>
                <w:bCs/>
              </w:rPr>
              <w:t xml:space="preserve">-2%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tax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~24%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few hundred million dollars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~$22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Flat to low single digits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operating profit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~$3.4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~$2.80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 still expected</w:t>
            </w:r>
            <w:r>
              <w:t xml:space="preserve"> </w:t>
            </w:r>
            <w:r>
              <w:rPr>
                <w:b/>
                <w:bCs/>
              </w:rPr>
              <w:t xml:space="preserve">~$1.5 billion</w:t>
            </w:r>
            <w:r>
              <w:t xml:space="preserve"> </w:t>
            </w:r>
            <w:r>
              <w:t xml:space="preserve">as of June</w:t>
            </w:r>
          </w:p>
        </w:tc>
      </w:tr>
    </w:tbl>
    <w:p>
      <w:pPr>
        <w:pStyle w:val="BodyText"/>
      </w:pPr>
      <w:r>
        <w:t xml:space="preserve">At $69.35, Carrier is trading at approximately</w:t>
      </w:r>
      <w:r>
        <w:t xml:space="preserve"> </w:t>
      </w:r>
      <w:r>
        <w:rPr>
          <w:b/>
          <w:bCs/>
        </w:rPr>
        <w:t xml:space="preserve">24.8 times</w:t>
      </w:r>
      <w:r>
        <w:t xml:space="preserve"> </w:t>
      </w:r>
      <w:r>
        <w:t xml:space="preserve">management’s $2.80 full-year adjusted EPS target. The shares are up about</w:t>
      </w:r>
      <w:r>
        <w:t xml:space="preserve"> </w:t>
      </w:r>
      <w:r>
        <w:rPr>
          <w:b/>
          <w:bCs/>
        </w:rPr>
        <w:t xml:space="preserve">31% year to date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12% since the day before Q1 earnings</w:t>
      </w:r>
      <w:r>
        <w:t xml:space="preserve">, and about</w:t>
      </w:r>
      <w:r>
        <w:t xml:space="preserve"> </w:t>
      </w:r>
      <w:r>
        <w:rPr>
          <w:b/>
          <w:bCs/>
        </w:rPr>
        <w:t xml:space="preserve">9% below their June peak</w:t>
      </w:r>
      <w:r>
        <w:t xml:space="preserve">.</w:t>
      </w:r>
    </w:p>
    <w:p>
      <w:pPr>
        <w:pStyle w:val="BodyText"/>
      </w:pPr>
      <w:r>
        <w:t xml:space="preserve">That valuation suggests investors are already assigning significant value to the data-center opportunity and an eventual recovery in short-cycle HVAC markets.</w:t>
      </w:r>
    </w:p>
    <w:p>
      <w:r>
        <w:pict>
          <v:rect style="width:0;height:1.5pt" o:hralign="center" o:hrstd="t" o:hr="t"/>
        </w:pict>
      </w:r>
    </w:p>
    <w:bookmarkEnd w:id="10"/>
    <w:bookmarkStart w:id="12" w:name="X0c7f5df6350d03c16f531c4ec9d058a0a413b1c"/>
    <w:p>
      <w:pPr>
        <w:pStyle w:val="Heading2"/>
      </w:pPr>
      <w:r>
        <w:t xml:space="preserve">1. Data centers are the central issue</w:t>
      </w:r>
    </w:p>
    <w:p>
      <w:pPr>
        <w:pStyle w:val="FirstParagraph"/>
      </w:pPr>
      <w:r>
        <w:t xml:space="preserve">Carrier’s commercial HVAC business is now the primary growth engine.</w:t>
      </w:r>
    </w:p>
    <w:p>
      <w:pPr>
        <w:pStyle w:val="BodyText"/>
      </w:pPr>
      <w:r>
        <w:t xml:space="preserve">In Q1:</w:t>
      </w:r>
    </w:p>
    <w:p>
      <w:pPr>
        <w:pStyle w:val="Compact"/>
        <w:numPr>
          <w:ilvl w:val="0"/>
          <w:numId w:val="1002"/>
        </w:numPr>
      </w:pPr>
      <w:r>
        <w:t xml:space="preserve">Total company orders rose</w:t>
      </w:r>
      <w:r>
        <w:t xml:space="preserve"> </w:t>
      </w:r>
      <w:r>
        <w:rPr>
          <w:b/>
          <w:bCs/>
        </w:rPr>
        <w:t xml:space="preserve">11%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Global commercial HVAC orders increased approximately</w:t>
      </w:r>
      <w:r>
        <w:t xml:space="preserve"> </w:t>
      </w:r>
      <w:r>
        <w:rPr>
          <w:b/>
          <w:bCs/>
        </w:rPr>
        <w:t xml:space="preserve">35%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Climate Solutions Americas commercial HVAC orders rose more than</w:t>
      </w:r>
      <w:r>
        <w:t xml:space="preserve"> </w:t>
      </w:r>
      <w:r>
        <w:rPr>
          <w:b/>
          <w:bCs/>
        </w:rPr>
        <w:t xml:space="preserve">80%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Data-center orders increased more than</w:t>
      </w:r>
      <w:r>
        <w:t xml:space="preserve"> </w:t>
      </w:r>
      <w:r>
        <w:rPr>
          <w:b/>
          <w:bCs/>
        </w:rPr>
        <w:t xml:space="preserve">500%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Backlog already covered the company’s planned</w:t>
      </w:r>
      <w:r>
        <w:t xml:space="preserve"> </w:t>
      </w:r>
      <w:r>
        <w:rPr>
          <w:b/>
          <w:bCs/>
        </w:rPr>
        <w:t xml:space="preserve">$1.5 billion of 2026 data-center revenue</w:t>
      </w:r>
      <w:r>
        <w:t xml:space="preserve">.</w:t>
      </w:r>
    </w:p>
    <w:p>
      <w:pPr>
        <w:pStyle w:val="FirstParagraph"/>
      </w:pPr>
      <w:r>
        <w:t xml:space="preserve">The outlook became even more bullish at Carrier’s June 9 investor conference. Management said:</w:t>
      </w:r>
    </w:p>
    <w:p>
      <w:pPr>
        <w:pStyle w:val="Compact"/>
        <w:numPr>
          <w:ilvl w:val="0"/>
          <w:numId w:val="1003"/>
        </w:numPr>
      </w:pPr>
      <w:r>
        <w:t xml:space="preserve">It could exceed the $1.5 billion target, with execution—not demand—the main constraint.</w:t>
      </w:r>
    </w:p>
    <w:p>
      <w:pPr>
        <w:pStyle w:val="Compact"/>
        <w:numPr>
          <w:ilvl w:val="0"/>
          <w:numId w:val="1003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 billion</w:t>
      </w:r>
      <w:r>
        <w:t xml:space="preserve"> </w:t>
      </w:r>
      <w:r>
        <w:t xml:space="preserve">of 2026 data-center sales was expected in the second half.</w:t>
      </w:r>
    </w:p>
    <w:p>
      <w:pPr>
        <w:pStyle w:val="Compact"/>
        <w:numPr>
          <w:ilvl w:val="0"/>
          <w:numId w:val="1003"/>
        </w:numPr>
      </w:pPr>
      <w:r>
        <w:t xml:space="preserve">The implied year-end production run rate could support approximately</w:t>
      </w:r>
      <w:r>
        <w:t xml:space="preserve"> </w:t>
      </w:r>
      <w:r>
        <w:rPr>
          <w:b/>
          <w:bCs/>
        </w:rPr>
        <w:t xml:space="preserve">$2.5 billion of 2027 sales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Demand already exceeded that level.</w:t>
      </w:r>
    </w:p>
    <w:p>
      <w:pPr>
        <w:pStyle w:val="Compact"/>
        <w:numPr>
          <w:ilvl w:val="0"/>
          <w:numId w:val="1003"/>
        </w:numPr>
      </w:pPr>
      <w:r>
        <w:t xml:space="preserve">Order wins and customer discussions had strengthened materially since the Q1 call.</w:t>
      </w:r>
    </w:p>
    <w:p>
      <w:pPr>
        <w:pStyle w:val="Compact"/>
        <w:numPr>
          <w:ilvl w:val="0"/>
          <w:numId w:val="1003"/>
        </w:numPr>
      </w:pPr>
      <w:r>
        <w:t xml:space="preserve">Carrier was considering additional U.S. production capacity and raising annual capital expenditures from approximately</w:t>
      </w:r>
      <w:r>
        <w:t xml:space="preserve"> </w:t>
      </w:r>
      <w:r>
        <w:rPr>
          <w:b/>
          <w:bCs/>
        </w:rPr>
        <w:t xml:space="preserve">$500 million to $600 million</w:t>
      </w:r>
      <w:r>
        <w:t xml:space="preserve">.</w:t>
      </w:r>
    </w:p>
    <w:bookmarkStart w:id="11" w:name="what-investors-should-watch"/>
    <w:p>
      <w:pPr>
        <w:pStyle w:val="Heading3"/>
      </w:pPr>
      <w:r>
        <w:t xml:space="preserve">What investors should watch</w:t>
      </w:r>
    </w:p>
    <w:p>
      <w:pPr>
        <w:pStyle w:val="FirstParagraph"/>
      </w:pPr>
      <w:r>
        <w:rPr>
          <w:b/>
          <w:bCs/>
        </w:rPr>
        <w:t xml:space="preserve">Orders and backlog:</w:t>
      </w:r>
      <w:r>
        <w:t xml:space="preserve"> </w:t>
      </w:r>
      <w:r>
        <w:t xml:space="preserve">Another exceptional commercial HVAC order quarter would reinforce the thesis that Carrier is taking share rather than merely participating in a strong market.</w:t>
      </w:r>
    </w:p>
    <w:p>
      <w:pPr>
        <w:pStyle w:val="BodyText"/>
      </w:pPr>
      <w:r>
        <w:rPr>
          <w:b/>
          <w:bCs/>
        </w:rPr>
        <w:t xml:space="preserve">2026 execution:</w:t>
      </w:r>
      <w:r>
        <w:t xml:space="preserve"> </w:t>
      </w:r>
      <w:r>
        <w:t xml:space="preserve">The company is simultaneously designing, sourcing, producing and commissioning certain systems. A $1 billion second-half data-center ramp introduces manufacturing, engineering and customer-acceptance risk.</w:t>
      </w:r>
    </w:p>
    <w:p>
      <w:pPr>
        <w:pStyle w:val="BodyText"/>
      </w:pPr>
      <w:r>
        <w:rPr>
          <w:b/>
          <w:bCs/>
        </w:rPr>
        <w:t xml:space="preserve">2027 capacity:</w:t>
      </w:r>
      <w:r>
        <w:t xml:space="preserve"> </w:t>
      </w:r>
      <w:r>
        <w:t xml:space="preserve">Any quantified 2027 data-center revenue expectation would likely be the most important new disclosure in the report.</w:t>
      </w:r>
    </w:p>
    <w:p>
      <w:pPr>
        <w:pStyle w:val="BodyText"/>
      </w:pPr>
      <w:r>
        <w:rPr>
          <w:b/>
          <w:bCs/>
        </w:rPr>
        <w:t xml:space="preserve">Margins:</w:t>
      </w:r>
      <w:r>
        <w:t xml:space="preserve"> </w:t>
      </w:r>
      <w:r>
        <w:t xml:space="preserve">Management has said data centers are accretive to Carrier’s overall applied HVAC margins. Investors should look for evidence that expedited production and capacity investments are not consuming that benefit.</w:t>
      </w:r>
    </w:p>
    <w:p>
      <w:pPr>
        <w:pStyle w:val="BodyText"/>
      </w:pPr>
      <w:r>
        <w:rPr>
          <w:b/>
          <w:bCs/>
        </w:rPr>
        <w:t xml:space="preserve">QuantumLeap and liquid cooling:</w:t>
      </w:r>
      <w:r>
        <w:t xml:space="preserve"> </w:t>
      </w:r>
      <w:r>
        <w:t xml:space="preserve">Carrier is broadening its offering beyond chillers into coolant distribution units, controls, infrastructure-management software and integrated thermal systems. Updates on its 1.3-, 2.6- and 5-megawatt CDU platforms—and the share of orders that include multiple Carrier products—would help validate the systems strategy.</w:t>
      </w:r>
    </w:p>
    <w:p>
      <w:pPr>
        <w:pStyle w:val="BodyText"/>
      </w:pPr>
      <w:r>
        <w:t xml:space="preserve">A strong data-center quarter would mean more than a high order number. The best outcome would combine</w:t>
      </w:r>
      <w:r>
        <w:t xml:space="preserve"> </w:t>
      </w:r>
      <w:r>
        <w:rPr>
          <w:b/>
          <w:bCs/>
        </w:rPr>
        <w:t xml:space="preserve">large orders, rising backlog, higher 2027 capacity and stable-to-improving profitability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4" w:name="Xb997993c3c34923a1151e2999a40a2329abca16"/>
    <w:p>
      <w:pPr>
        <w:pStyle w:val="Heading2"/>
      </w:pPr>
      <w:r>
        <w:t xml:space="preserve">2. North American residential HVAC may be ahead of plan</w:t>
      </w:r>
    </w:p>
    <w:p>
      <w:pPr>
        <w:pStyle w:val="FirstParagraph"/>
      </w:pPr>
      <w:r>
        <w:t xml:space="preserve">Residential HVAC was Carrier’s largest Q1 headwind:</w:t>
      </w:r>
    </w:p>
    <w:p>
      <w:pPr>
        <w:pStyle w:val="Compact"/>
        <w:numPr>
          <w:ilvl w:val="0"/>
          <w:numId w:val="1004"/>
        </w:numPr>
      </w:pPr>
      <w:r>
        <w:t xml:space="preserve">Climate Solutions Americas residential sales fell</w:t>
      </w:r>
      <w:r>
        <w:t xml:space="preserve"> </w:t>
      </w:r>
      <w:r>
        <w:rPr>
          <w:b/>
          <w:bCs/>
        </w:rPr>
        <w:t xml:space="preserve">12%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Distributor-to-dealer movement declined approximately</w:t>
      </w:r>
      <w:r>
        <w:t xml:space="preserve"> </w:t>
      </w:r>
      <w:r>
        <w:rPr>
          <w:b/>
          <w:bCs/>
        </w:rPr>
        <w:t xml:space="preserve">8%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Lower volume and factory under-absorption drove a sharp decline in segment margin.</w:t>
      </w:r>
    </w:p>
    <w:p>
      <w:pPr>
        <w:pStyle w:val="FirstParagraph"/>
      </w:pPr>
      <w:r>
        <w:t xml:space="preserve">Carrier originally expected Q2 residential sales to decline around the mid-teens. By early June, management said results would be</w:t>
      </w:r>
      <w:r>
        <w:t xml:space="preserve"> </w:t>
      </w:r>
      <w:r>
        <w:rPr>
          <w:b/>
          <w:bCs/>
        </w:rPr>
        <w:t xml:space="preserve">better than that</w:t>
      </w:r>
      <w:r>
        <w:t xml:space="preserve">, with potential upside for both Q2 and the full year.</w:t>
      </w:r>
    </w:p>
    <w:p>
      <w:pPr>
        <w:pStyle w:val="BodyText"/>
      </w:pPr>
      <w:r>
        <w:t xml:space="preserve">There are several encouraging points:</w:t>
      </w:r>
    </w:p>
    <w:p>
      <w:pPr>
        <w:pStyle w:val="Compact"/>
        <w:numPr>
          <w:ilvl w:val="0"/>
          <w:numId w:val="1005"/>
        </w:numPr>
      </w:pPr>
      <w:r>
        <w:t xml:space="preserve">April demand was strong.</w:t>
      </w:r>
    </w:p>
    <w:p>
      <w:pPr>
        <w:pStyle w:val="Compact"/>
        <w:numPr>
          <w:ilvl w:val="0"/>
          <w:numId w:val="1005"/>
        </w:numPr>
      </w:pPr>
      <w:r>
        <w:t xml:space="preserve">June started acceptably.</w:t>
      </w:r>
    </w:p>
    <w:p>
      <w:pPr>
        <w:pStyle w:val="Compact"/>
        <w:numPr>
          <w:ilvl w:val="0"/>
          <w:numId w:val="1005"/>
        </w:numPr>
      </w:pPr>
      <w:r>
        <w:t xml:space="preserve">Management believed 2026 industry shipments were more likely to begin with a “7” than fall toward its earlier six-million-unit downside scenario.</w:t>
      </w:r>
    </w:p>
    <w:p>
      <w:pPr>
        <w:pStyle w:val="Compact"/>
        <w:numPr>
          <w:ilvl w:val="0"/>
          <w:numId w:val="1005"/>
        </w:numPr>
      </w:pPr>
      <w:r>
        <w:t xml:space="preserve">Distributor inventory remained roughly</w:t>
      </w:r>
      <w:r>
        <w:t xml:space="preserve"> </w:t>
      </w:r>
      <w:r>
        <w:rPr>
          <w:b/>
          <w:bCs/>
        </w:rPr>
        <w:t xml:space="preserve">30%–35% below the prior year</w:t>
      </w:r>
      <w:r>
        <w:t xml:space="preserve">, suggesting the channel is clean.</w:t>
      </w:r>
    </w:p>
    <w:p>
      <w:pPr>
        <w:pStyle w:val="Compact"/>
        <w:numPr>
          <w:ilvl w:val="0"/>
          <w:numId w:val="1005"/>
        </w:numPr>
      </w:pPr>
      <w:r>
        <w:t xml:space="preserve">Carrier believes replacement demand has been deferred rather than permanently lost.</w:t>
      </w:r>
    </w:p>
    <w:p>
      <w:pPr>
        <w:pStyle w:val="Compact"/>
        <w:numPr>
          <w:ilvl w:val="0"/>
          <w:numId w:val="1005"/>
        </w:numPr>
      </w:pPr>
      <w:r>
        <w:t xml:space="preserve">The company estimates its North American residential share has risen from roughly 29%–30% at separation to approximately 32.5%.</w:t>
      </w:r>
    </w:p>
    <w:bookmarkStart w:id="13" w:name="Xa878d0a8eeb83a9714b217757f4c8bb1d08b5b3"/>
    <w:p>
      <w:pPr>
        <w:pStyle w:val="Heading3"/>
      </w:pPr>
      <w:r>
        <w:t xml:space="preserve">Why the result may be difficult to interpret</w:t>
      </w:r>
    </w:p>
    <w:p>
      <w:pPr>
        <w:pStyle w:val="FirstParagraph"/>
      </w:pPr>
      <w:r>
        <w:t xml:space="preserve">April benefited from favorable weather and purchasing ahead of a price increase. Consequently, strong shipments do not automatically equal strong underlying sell-through.</w:t>
      </w:r>
    </w:p>
    <w:p>
      <w:pPr>
        <w:pStyle w:val="BodyText"/>
      </w:pPr>
      <w:r>
        <w:t xml:space="preserve">The most useful data points will be:</w:t>
      </w:r>
    </w:p>
    <w:p>
      <w:pPr>
        <w:pStyle w:val="Compact"/>
        <w:numPr>
          <w:ilvl w:val="0"/>
          <w:numId w:val="1006"/>
        </w:numPr>
      </w:pPr>
      <w:r>
        <w:t xml:space="preserve">Residential sales versus the prior mid-teens decline assumption.</w:t>
      </w:r>
    </w:p>
    <w:p>
      <w:pPr>
        <w:pStyle w:val="Compact"/>
        <w:numPr>
          <w:ilvl w:val="0"/>
          <w:numId w:val="1006"/>
        </w:numPr>
      </w:pPr>
      <w:r>
        <w:t xml:space="preserve">Distributor-to-dealer movement.</w:t>
      </w:r>
    </w:p>
    <w:p>
      <w:pPr>
        <w:pStyle w:val="Compact"/>
        <w:numPr>
          <w:ilvl w:val="0"/>
          <w:numId w:val="1006"/>
        </w:numPr>
      </w:pPr>
      <w:r>
        <w:t xml:space="preserve">Shipments relative to movement.</w:t>
      </w:r>
    </w:p>
    <w:p>
      <w:pPr>
        <w:pStyle w:val="Compact"/>
        <w:numPr>
          <w:ilvl w:val="0"/>
          <w:numId w:val="1006"/>
        </w:numPr>
      </w:pPr>
      <w:r>
        <w:t xml:space="preserve">Quarter-end field inventory.</w:t>
      </w:r>
    </w:p>
    <w:p>
      <w:pPr>
        <w:pStyle w:val="Compact"/>
        <w:numPr>
          <w:ilvl w:val="0"/>
          <w:numId w:val="1006"/>
        </w:numPr>
      </w:pPr>
      <w:r>
        <w:t xml:space="preserve">June and July order trends.</w:t>
      </w:r>
    </w:p>
    <w:p>
      <w:pPr>
        <w:pStyle w:val="Compact"/>
        <w:numPr>
          <w:ilvl w:val="0"/>
          <w:numId w:val="1006"/>
        </w:numPr>
      </w:pPr>
      <w:r>
        <w:t xml:space="preserve">Whether pricing is affecting share or mix.</w:t>
      </w:r>
    </w:p>
    <w:p>
      <w:pPr>
        <w:pStyle w:val="Compact"/>
        <w:numPr>
          <w:ilvl w:val="0"/>
          <w:numId w:val="1006"/>
        </w:numPr>
      </w:pPr>
      <w:r>
        <w:t xml:space="preserve">Management’s updated estimate for 2026 industry volumes.</w:t>
      </w:r>
    </w:p>
    <w:p>
      <w:pPr>
        <w:pStyle w:val="FirstParagraph"/>
      </w:pPr>
      <w:r>
        <w:t xml:space="preserve">A modest Q2 residential beat accompanied by continued low channel inventory would be more valuable than a larger shipment beat caused by inventory rebuilding.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Xd40268b5fb328913576045c9c1317437be58626"/>
    <w:p>
      <w:pPr>
        <w:pStyle w:val="Heading2"/>
      </w:pPr>
      <w:r>
        <w:t xml:space="preserve">3. Climate Solutions Americas margin is the key financial swing factor</w:t>
      </w:r>
    </w:p>
    <w:p>
      <w:pPr>
        <w:pStyle w:val="FirstParagraph"/>
      </w:pPr>
      <w:r>
        <w:t xml:space="preserve">Management’s Q2 framework called for:</w:t>
      </w:r>
    </w:p>
    <w:p>
      <w:pPr>
        <w:pStyle w:val="Compact"/>
        <w:numPr>
          <w:ilvl w:val="0"/>
          <w:numId w:val="1007"/>
        </w:numPr>
      </w:pPr>
      <w:r>
        <w:t xml:space="preserve">Climate Solutions Americas organic sales down approximately</w:t>
      </w:r>
      <w:r>
        <w:t xml:space="preserve"> </w:t>
      </w:r>
      <w:r>
        <w:rPr>
          <w:b/>
          <w:bCs/>
        </w:rPr>
        <w:t xml:space="preserve">mid-single digits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Segment margin around</w:t>
      </w:r>
      <w:r>
        <w:t xml:space="preserve"> </w:t>
      </w:r>
      <w:r>
        <w:rPr>
          <w:b/>
          <w:bCs/>
        </w:rPr>
        <w:t xml:space="preserve">24%</w:t>
      </w:r>
      <w:r>
        <w:t xml:space="preserve">, versus 14.9% in seasonally weaker Q1.</w:t>
      </w:r>
    </w:p>
    <w:p>
      <w:pPr>
        <w:pStyle w:val="Compact"/>
        <w:numPr>
          <w:ilvl w:val="0"/>
          <w:numId w:val="1007"/>
        </w:numPr>
      </w:pPr>
      <w:r>
        <w:t xml:space="preserve">Residential sales down around the mid-teens.</w:t>
      </w:r>
    </w:p>
    <w:p>
      <w:pPr>
        <w:pStyle w:val="Compact"/>
        <w:numPr>
          <w:ilvl w:val="0"/>
          <w:numId w:val="1007"/>
        </w:numPr>
      </w:pPr>
      <w:r>
        <w:t xml:space="preserve">Light-commercial sales down mid-single digits.</w:t>
      </w:r>
    </w:p>
    <w:p>
      <w:pPr>
        <w:pStyle w:val="FirstParagraph"/>
      </w:pPr>
      <w:r>
        <w:t xml:space="preserve">Both residential and light commercial were subsequently running better than expected. Because these are among Carrier’s highest-margin businesses, better volume should produce favorable mix and absorption.</w:t>
      </w:r>
    </w:p>
    <w:p>
      <w:pPr>
        <w:pStyle w:val="BodyText"/>
      </w:pPr>
      <w:r>
        <w:t xml:space="preserve">At the same time, there are offsets:</w:t>
      </w:r>
    </w:p>
    <w:p>
      <w:pPr>
        <w:pStyle w:val="Compact"/>
        <w:numPr>
          <w:ilvl w:val="0"/>
          <w:numId w:val="1008"/>
        </w:numPr>
      </w:pPr>
      <w:r>
        <w:t xml:space="preserve">Tariff and commodity inflation.</w:t>
      </w:r>
    </w:p>
    <w:p>
      <w:pPr>
        <w:pStyle w:val="Compact"/>
        <w:numPr>
          <w:ilvl w:val="0"/>
          <w:numId w:val="1008"/>
        </w:numPr>
      </w:pPr>
      <w:r>
        <w:t xml:space="preserve">A temporary lag between input-cost increases and realized pricing.</w:t>
      </w:r>
    </w:p>
    <w:p>
      <w:pPr>
        <w:pStyle w:val="Compact"/>
        <w:numPr>
          <w:ilvl w:val="0"/>
          <w:numId w:val="1008"/>
        </w:numPr>
      </w:pPr>
      <w:r>
        <w:t xml:space="preserve">Investments in data-center engineering and capacity.</w:t>
      </w:r>
    </w:p>
    <w:p>
      <w:pPr>
        <w:pStyle w:val="Compact"/>
        <w:numPr>
          <w:ilvl w:val="0"/>
          <w:numId w:val="1008"/>
        </w:numPr>
      </w:pPr>
      <w:r>
        <w:t xml:space="preserve">Potentially lower-margin pricing used to preserve residential share.</w:t>
      </w:r>
    </w:p>
    <w:p>
      <w:pPr>
        <w:pStyle w:val="Compact"/>
        <w:numPr>
          <w:ilvl w:val="0"/>
          <w:numId w:val="1008"/>
        </w:numPr>
      </w:pPr>
      <w:r>
        <w:t xml:space="preserve">Continued weakness in certain international businesses.</w:t>
      </w:r>
    </w:p>
    <w:bookmarkStart w:id="15" w:name="the-most-important-margin-question"/>
    <w:p>
      <w:pPr>
        <w:pStyle w:val="Heading3"/>
      </w:pPr>
      <w:r>
        <w:t xml:space="preserve">The most important margin question</w:t>
      </w:r>
    </w:p>
    <w:p>
      <w:pPr>
        <w:pStyle w:val="FirstParagraph"/>
      </w:pPr>
      <w:r>
        <w:t xml:space="preserve">Carrier previously expected tariff pricing and incremental costs to be approximately neutral in the second half. Investors should determine whether that remains true after changes in U.S. Section 232 tariffs.</w:t>
      </w:r>
    </w:p>
    <w:p>
      <w:pPr>
        <w:pStyle w:val="BodyText"/>
      </w:pPr>
      <w:r>
        <w:t xml:space="preserve">In April, Carrier expected roughly</w:t>
      </w:r>
      <w:r>
        <w:t xml:space="preserve"> </w:t>
      </w:r>
      <m:oMath>
        <m:r>
          <m:t>400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450 million</w:t>
      </w:r>
      <w:r>
        <w:t xml:space="preserve"> </w:t>
      </w:r>
      <w:r>
        <w:t xml:space="preserve">of additional annual pricing, with approximately 75% tied to tariffs. By June, lower tariff rates allowed management to reduce its companywide pricing expectation from about 3% to approximately</w:t>
      </w:r>
      <w:r>
        <w:t xml:space="preserve"> </w:t>
      </w:r>
      <w:r>
        <w:rPr>
          <w:b/>
          <w:bCs/>
        </w:rPr>
        <w:t xml:space="preserve">2.5%</w:t>
      </w:r>
      <w:r>
        <w:t xml:space="preserve">.</w:t>
      </w:r>
    </w:p>
    <w:p>
      <w:pPr>
        <w:pStyle w:val="BodyText"/>
      </w:pPr>
      <w:r>
        <w:t xml:space="preserve">A good report would show that Carrier can reduce customer pricing while still offsetting its revised cost exposure dollar for dollar.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8" w:name="X7b554a0268f21690146d7cfd641ca50b76c8a49"/>
    <w:p>
      <w:pPr>
        <w:pStyle w:val="Heading2"/>
      </w:pPr>
      <w:r>
        <w:t xml:space="preserve">4. Europe: improving demand, but margins need to follow</w:t>
      </w:r>
    </w:p>
    <w:p>
      <w:pPr>
        <w:pStyle w:val="FirstParagraph"/>
      </w:pPr>
      <w:r>
        <w:t xml:space="preserve">Carrier’s European residential and light-commercial business showed signs of recovery in Q1:</w:t>
      </w:r>
    </w:p>
    <w:p>
      <w:pPr>
        <w:pStyle w:val="Compact"/>
        <w:numPr>
          <w:ilvl w:val="0"/>
          <w:numId w:val="1009"/>
        </w:numPr>
      </w:pPr>
      <w:r>
        <w:t xml:space="preserve">Residential and light-commercial organic sales increased low single digits.</w:t>
      </w:r>
    </w:p>
    <w:p>
      <w:pPr>
        <w:pStyle w:val="Compact"/>
        <w:numPr>
          <w:ilvl w:val="0"/>
          <w:numId w:val="1009"/>
        </w:numPr>
      </w:pPr>
      <w:r>
        <w:t xml:space="preserve">Heat-pump sales rose low teens across Europe and approximately 20% in Germany.</w:t>
      </w:r>
    </w:p>
    <w:p>
      <w:pPr>
        <w:pStyle w:val="Compact"/>
        <w:numPr>
          <w:ilvl w:val="0"/>
          <w:numId w:val="1009"/>
        </w:numPr>
      </w:pPr>
      <w:r>
        <w:t xml:space="preserve">Germany’s heat-pump subsidy applications increased roughly 30%.</w:t>
      </w:r>
    </w:p>
    <w:p>
      <w:pPr>
        <w:pStyle w:val="Compact"/>
        <w:numPr>
          <w:ilvl w:val="0"/>
          <w:numId w:val="1009"/>
        </w:numPr>
      </w:pPr>
      <w:r>
        <w:t xml:space="preserve">European residential and light-commercial orders remained positive into April.</w:t>
      </w:r>
    </w:p>
    <w:p>
      <w:pPr>
        <w:pStyle w:val="FirstParagraph"/>
      </w:pPr>
      <w:r>
        <w:t xml:space="preserve">By June, management described heat-pump orders in Germany, France and Italy as “extremely encouraging.” It suggested European residential sales could rise mid-single digits in Q2, better than the prior flat assumption.</w:t>
      </w:r>
    </w:p>
    <w:p>
      <w:pPr>
        <w:pStyle w:val="BodyText"/>
      </w:pPr>
      <w:r>
        <w:t xml:space="preserve">The problem was profitability. Q1 Climate Solutions Europe margin fell to</w:t>
      </w:r>
      <w:r>
        <w:t xml:space="preserve"> </w:t>
      </w:r>
      <w:r>
        <w:rPr>
          <w:b/>
          <w:bCs/>
        </w:rPr>
        <w:t xml:space="preserve">6.9%</w:t>
      </w:r>
      <w:r>
        <w:t xml:space="preserve"> </w:t>
      </w:r>
      <w:r>
        <w:t xml:space="preserve">due to lower commercial volume, promotions, warranty costs and under-absorption. Management’s Q2 framework was approximately</w:t>
      </w:r>
      <w:r>
        <w:t xml:space="preserve"> </w:t>
      </w:r>
      <w:r>
        <w:rPr>
          <w:b/>
          <w:bCs/>
        </w:rPr>
        <w:t xml:space="preserve">10% margin</w:t>
      </w:r>
      <w:r>
        <w:t xml:space="preserve">.</w:t>
      </w:r>
    </w:p>
    <w:bookmarkStart w:id="17" w:name="items-to-watch"/>
    <w:p>
      <w:pPr>
        <w:pStyle w:val="Heading3"/>
      </w:pPr>
      <w:r>
        <w:t xml:space="preserve">Items to watch</w:t>
      </w:r>
    </w:p>
    <w:p>
      <w:pPr>
        <w:pStyle w:val="Compact"/>
        <w:numPr>
          <w:ilvl w:val="0"/>
          <w:numId w:val="1010"/>
        </w:numPr>
      </w:pPr>
      <w:r>
        <w:t xml:space="preserve">Heat-pump growth versus boiler declines.</w:t>
      </w:r>
    </w:p>
    <w:p>
      <w:pPr>
        <w:pStyle w:val="Compact"/>
        <w:numPr>
          <w:ilvl w:val="0"/>
          <w:numId w:val="1010"/>
        </w:numPr>
      </w:pPr>
      <w:r>
        <w:t xml:space="preserve">Whether April price increases and surcharges restored profitability.</w:t>
      </w:r>
    </w:p>
    <w:p>
      <w:pPr>
        <w:pStyle w:val="Compact"/>
        <w:numPr>
          <w:ilvl w:val="0"/>
          <w:numId w:val="1010"/>
        </w:numPr>
      </w:pPr>
      <w:r>
        <w:t xml:space="preserve">Commercial HVAC order timing in Europe.</w:t>
      </w:r>
    </w:p>
    <w:p>
      <w:pPr>
        <w:pStyle w:val="Compact"/>
        <w:numPr>
          <w:ilvl w:val="0"/>
          <w:numId w:val="1010"/>
        </w:numPr>
      </w:pPr>
      <w:r>
        <w:t xml:space="preserve">Progress toward approximately 100 basis points of full-year margin expansion.</w:t>
      </w:r>
    </w:p>
    <w:p>
      <w:pPr>
        <w:pStyle w:val="Compact"/>
        <w:numPr>
          <w:ilvl w:val="0"/>
          <w:numId w:val="1010"/>
        </w:numPr>
      </w:pPr>
      <w:r>
        <w:t xml:space="preserve">Commentary from or regarding new European segment leader Thomas Donato.</w:t>
      </w:r>
    </w:p>
    <w:p>
      <w:pPr>
        <w:pStyle w:val="Compact"/>
        <w:numPr>
          <w:ilvl w:val="0"/>
          <w:numId w:val="1010"/>
        </w:numPr>
      </w:pPr>
      <w:r>
        <w:t xml:space="preserve">Integration savings and product-launch progress at Viessmann.</w:t>
      </w:r>
    </w:p>
    <w:p>
      <w:pPr>
        <w:pStyle w:val="FirstParagraph"/>
      </w:pPr>
      <w:r>
        <w:t xml:space="preserve">The bullish case requires Europe to progress from</w:t>
      </w:r>
      <w:r>
        <w:t xml:space="preserve"> </w:t>
      </w:r>
      <w:r>
        <w:rPr>
          <w:b/>
          <w:bCs/>
        </w:rPr>
        <w:t xml:space="preserve">strong orders to better sales and margins</w:t>
      </w:r>
      <w:r>
        <w:t xml:space="preserve">. Heat-pump growth that merely offsets weak boilers without improving profitability would be less compelling.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2" w:name="X396bb7cb3aa9773d8ed7103362df11ca096efa2"/>
    <w:p>
      <w:pPr>
        <w:pStyle w:val="Heading2"/>
      </w:pPr>
      <w:r>
        <w:t xml:space="preserve">5. China, the Middle East and transportation remain potential offsets</w:t>
      </w:r>
    </w:p>
    <w:bookmarkStart w:id="19" w:name="china"/>
    <w:p>
      <w:pPr>
        <w:pStyle w:val="Heading3"/>
      </w:pPr>
      <w:r>
        <w:t xml:space="preserve">China</w:t>
      </w:r>
    </w:p>
    <w:p>
      <w:pPr>
        <w:pStyle w:val="FirstParagraph"/>
      </w:pPr>
      <w:r>
        <w:t xml:space="preserve">China residential and light-commercial sales fell approximately</w:t>
      </w:r>
      <w:r>
        <w:t xml:space="preserve"> </w:t>
      </w:r>
      <w:r>
        <w:rPr>
          <w:b/>
          <w:bCs/>
        </w:rPr>
        <w:t xml:space="preserve">25%</w:t>
      </w:r>
      <w:r>
        <w:t xml:space="preserve"> </w:t>
      </w:r>
      <w:r>
        <w:t xml:space="preserve">in Q1, while total China sales declined low teens. Management did not see a clear residential bottom.</w:t>
      </w:r>
    </w:p>
    <w:p>
      <w:pPr>
        <w:pStyle w:val="BodyText"/>
      </w:pPr>
      <w:r>
        <w:t xml:space="preserve">Commercial HVAC is more encouraging, supported by data centers, semiconductor facilities, healthcare and electric-vehicle battery projects. Investors should therefore separate weak Chinese housing exposure from potential growth in applied HVAC.</w:t>
      </w:r>
    </w:p>
    <w:bookmarkEnd w:id="19"/>
    <w:bookmarkStart w:id="20" w:name="middle-east"/>
    <w:p>
      <w:pPr>
        <w:pStyle w:val="Heading3"/>
      </w:pPr>
      <w:r>
        <w:t xml:space="preserve">Middle East</w:t>
      </w:r>
    </w:p>
    <w:p>
      <w:pPr>
        <w:pStyle w:val="FirstParagraph"/>
      </w:pPr>
      <w:r>
        <w:t xml:space="preserve">Q1 sales were affected by regional conflict, and management reduced the full-year margin expectation for Climate Solutions Asia Pacific, Middle East &amp; Africa. Carrier generated approximately $400 million of Middle East sales in 2025 and also receives income from regional joint ventures.</w:t>
      </w:r>
    </w:p>
    <w:p>
      <w:pPr>
        <w:pStyle w:val="BodyText"/>
      </w:pPr>
      <w:r>
        <w:t xml:space="preserve">A normalization in project activity would be helpful, but management may remain cautious on timing.</w:t>
      </w:r>
    </w:p>
    <w:bookmarkEnd w:id="20"/>
    <w:bookmarkStart w:id="21" w:name="transportation"/>
    <w:p>
      <w:pPr>
        <w:pStyle w:val="Heading3"/>
      </w:pPr>
      <w:r>
        <w:t xml:space="preserve">Transportation</w:t>
      </w:r>
    </w:p>
    <w:p>
      <w:pPr>
        <w:pStyle w:val="FirstParagraph"/>
      </w:pPr>
      <w:r>
        <w:t xml:space="preserve">Transportation’s Q1 organic sales rose 5%:</w:t>
      </w:r>
    </w:p>
    <w:p>
      <w:pPr>
        <w:pStyle w:val="Compact"/>
        <w:numPr>
          <w:ilvl w:val="0"/>
          <w:numId w:val="1011"/>
        </w:numPr>
      </w:pPr>
      <w:r>
        <w:t xml:space="preserve">Container refrigeration increased nearly 40%.</w:t>
      </w:r>
    </w:p>
    <w:p>
      <w:pPr>
        <w:pStyle w:val="Compact"/>
        <w:numPr>
          <w:ilvl w:val="0"/>
          <w:numId w:val="1011"/>
        </w:numPr>
      </w:pPr>
      <w:r>
        <w:t xml:space="preserve">Global truck and trailer declined high single digits.</w:t>
      </w:r>
    </w:p>
    <w:p>
      <w:pPr>
        <w:pStyle w:val="Compact"/>
        <w:numPr>
          <w:ilvl w:val="0"/>
          <w:numId w:val="1011"/>
        </w:numPr>
      </w:pPr>
      <w:r>
        <w:t xml:space="preserve">Segment margin slipped due to unfavorable mix.</w:t>
      </w:r>
    </w:p>
    <w:p>
      <w:pPr>
        <w:pStyle w:val="FirstParagraph"/>
      </w:pPr>
      <w:r>
        <w:t xml:space="preserve">Container demand continued to exceed expectations into Q2, but North American truck and trailer remained soft. A good outcome would be better full-year revenue with no further deterioration in margin.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X06ae965fd3c70d3c699e07c03cef1d6cb3749de"/>
    <w:p>
      <w:pPr>
        <w:pStyle w:val="Heading2"/>
      </w:pPr>
      <w:r>
        <w:t xml:space="preserve">6. Full-year guidance: reaffirmation is likely, but the details matter</w:t>
      </w:r>
    </w:p>
    <w:p>
      <w:pPr>
        <w:pStyle w:val="FirstParagraph"/>
      </w:pPr>
      <w:r>
        <w:t xml:space="preserve">Carrier’s formal 2026 outlook is:</w:t>
      </w:r>
    </w:p>
    <w:p>
      <w:pPr>
        <w:pStyle w:val="Compact"/>
        <w:numPr>
          <w:ilvl w:val="0"/>
          <w:numId w:val="1012"/>
        </w:numPr>
      </w:pPr>
      <w:r>
        <w:t xml:space="preserve">Revenue of approximately</w:t>
      </w:r>
      <w:r>
        <w:t xml:space="preserve"> </w:t>
      </w:r>
      <w:r>
        <w:rPr>
          <w:b/>
          <w:bCs/>
        </w:rPr>
        <w:t xml:space="preserve">$22 billion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Organic sales flat to up low single digits.</w:t>
      </w:r>
    </w:p>
    <w:p>
      <w:pPr>
        <w:pStyle w:val="Compact"/>
        <w:numPr>
          <w:ilvl w:val="0"/>
          <w:numId w:val="1012"/>
        </w:numPr>
      </w:pPr>
      <w:r>
        <w:t xml:space="preserve">Adjusted operating profit of approximately</w:t>
      </w:r>
      <w:r>
        <w:t xml:space="preserve"> </w:t>
      </w:r>
      <w:r>
        <w:rPr>
          <w:b/>
          <w:bCs/>
        </w:rPr>
        <w:t xml:space="preserve">$3.4 billion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Adjusted EPS of approximately</w:t>
      </w:r>
      <w:r>
        <w:t xml:space="preserve"> </w:t>
      </w:r>
      <w:r>
        <w:rPr>
          <w:b/>
          <w:bCs/>
        </w:rPr>
        <w:t xml:space="preserve">$2.80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Free cash flow of approximately</w:t>
      </w:r>
      <w:r>
        <w:t xml:space="preserve"> </w:t>
      </w:r>
      <w:r>
        <w:rPr>
          <w:b/>
          <w:bCs/>
        </w:rPr>
        <w:t xml:space="preserve">$2 billion</w:t>
      </w:r>
      <w:r>
        <w:t xml:space="preserve">.</w:t>
      </w:r>
    </w:p>
    <w:p>
      <w:pPr>
        <w:pStyle w:val="FirstParagraph"/>
      </w:pPr>
      <w:r>
        <w:t xml:space="preserve">A simple reaffirmation would not be surprising. Management said in June that it felt good about both Q2 and the year, but Carrier also has several moving pieces:</w:t>
      </w:r>
    </w:p>
    <w:bookmarkStart w:id="23" w:name="potential-upside"/>
    <w:p>
      <w:pPr>
        <w:pStyle w:val="Heading3"/>
      </w:pPr>
      <w:r>
        <w:t xml:space="preserve">Potential upside</w:t>
      </w:r>
    </w:p>
    <w:p>
      <w:pPr>
        <w:pStyle w:val="Compact"/>
        <w:numPr>
          <w:ilvl w:val="0"/>
          <w:numId w:val="1013"/>
        </w:numPr>
      </w:pPr>
      <w:r>
        <w:t xml:space="preserve">Better North American residential and light-commercial demand.</w:t>
      </w:r>
    </w:p>
    <w:p>
      <w:pPr>
        <w:pStyle w:val="Compact"/>
        <w:numPr>
          <w:ilvl w:val="0"/>
          <w:numId w:val="1013"/>
        </w:numPr>
      </w:pPr>
      <w:r>
        <w:t xml:space="preserve">Stronger European heat-pump sales.</w:t>
      </w:r>
    </w:p>
    <w:p>
      <w:pPr>
        <w:pStyle w:val="Compact"/>
        <w:numPr>
          <w:ilvl w:val="0"/>
          <w:numId w:val="1013"/>
        </w:numPr>
      </w:pPr>
      <w:r>
        <w:t xml:space="preserve">Data-center revenue above $1.5 billion.</w:t>
      </w:r>
    </w:p>
    <w:p>
      <w:pPr>
        <w:pStyle w:val="Compact"/>
        <w:numPr>
          <w:ilvl w:val="0"/>
          <w:numId w:val="1013"/>
        </w:numPr>
      </w:pPr>
      <w:r>
        <w:t xml:space="preserve">Strong commercial HVAC orders.</w:t>
      </w:r>
    </w:p>
    <w:p>
      <w:pPr>
        <w:pStyle w:val="Compact"/>
        <w:numPr>
          <w:ilvl w:val="0"/>
          <w:numId w:val="1013"/>
        </w:numPr>
      </w:pPr>
      <w:r>
        <w:t xml:space="preserve">Container refrigeration.</w:t>
      </w:r>
    </w:p>
    <w:p>
      <w:pPr>
        <w:pStyle w:val="Compact"/>
        <w:numPr>
          <w:ilvl w:val="0"/>
          <w:numId w:val="1013"/>
        </w:numPr>
      </w:pPr>
      <w:r>
        <w:t xml:space="preserve">Buyback-related EPS support.</w:t>
      </w:r>
    </w:p>
    <w:bookmarkEnd w:id="23"/>
    <w:bookmarkStart w:id="24" w:name="potential-offsets"/>
    <w:p>
      <w:pPr>
        <w:pStyle w:val="Heading3"/>
      </w:pPr>
      <w:r>
        <w:t xml:space="preserve">Potential offsets</w:t>
      </w:r>
    </w:p>
    <w:p>
      <w:pPr>
        <w:pStyle w:val="Compact"/>
        <w:numPr>
          <w:ilvl w:val="0"/>
          <w:numId w:val="1014"/>
        </w:numPr>
      </w:pPr>
      <w:r>
        <w:t xml:space="preserve">China residential weakness.</w:t>
      </w:r>
    </w:p>
    <w:p>
      <w:pPr>
        <w:pStyle w:val="Compact"/>
        <w:numPr>
          <w:ilvl w:val="0"/>
          <w:numId w:val="1014"/>
        </w:numPr>
      </w:pPr>
      <w:r>
        <w:t xml:space="preserve">Middle East disruption.</w:t>
      </w:r>
    </w:p>
    <w:p>
      <w:pPr>
        <w:pStyle w:val="Compact"/>
        <w:numPr>
          <w:ilvl w:val="0"/>
          <w:numId w:val="1014"/>
        </w:numPr>
      </w:pPr>
      <w:r>
        <w:t xml:space="preserve">Truck and trailer weakness.</w:t>
      </w:r>
    </w:p>
    <w:p>
      <w:pPr>
        <w:pStyle w:val="Compact"/>
        <w:numPr>
          <w:ilvl w:val="0"/>
          <w:numId w:val="1014"/>
        </w:numPr>
      </w:pPr>
      <w:r>
        <w:t xml:space="preserve">Tariff and commodity-cost timing.</w:t>
      </w:r>
    </w:p>
    <w:p>
      <w:pPr>
        <w:pStyle w:val="Compact"/>
        <w:numPr>
          <w:ilvl w:val="0"/>
          <w:numId w:val="1014"/>
        </w:numPr>
      </w:pPr>
      <w:r>
        <w:t xml:space="preserve">Higher data-center investment.</w:t>
      </w:r>
    </w:p>
    <w:p>
      <w:pPr>
        <w:pStyle w:val="Compact"/>
        <w:numPr>
          <w:ilvl w:val="0"/>
          <w:numId w:val="1014"/>
        </w:numPr>
      </w:pPr>
      <w:r>
        <w:t xml:space="preserve">Viessmann-related execution and European margin pressure.</w:t>
      </w:r>
    </w:p>
    <w:p>
      <w:pPr>
        <w:pStyle w:val="Compact"/>
        <w:numPr>
          <w:ilvl w:val="0"/>
          <w:numId w:val="1014"/>
        </w:numPr>
      </w:pPr>
      <w:r>
        <w:t xml:space="preserve">Riello divestiture timing and presentation.</w:t>
      </w:r>
    </w:p>
    <w:p>
      <w:pPr>
        <w:pStyle w:val="FirstParagraph"/>
      </w:pPr>
      <w:r>
        <w:t xml:space="preserve">The most constructive outcome may be a guidance reaffirmation paired with</w:t>
      </w:r>
      <w:r>
        <w:t xml:space="preserve"> </w:t>
      </w:r>
      <w:r>
        <w:rPr>
          <w:b/>
          <w:bCs/>
        </w:rPr>
        <w:t xml:space="preserve">higher underlying volume expectations, more data-center investment and greater confidence in 2027</w:t>
      </w:r>
      <w:r>
        <w:t xml:space="preserve">. Conversely, an EPS increase driven mainly by a lower share count or tax rate would be lower quality.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what-would-constitute-a-strong-report"/>
    <w:p>
      <w:pPr>
        <w:pStyle w:val="Heading2"/>
      </w:pPr>
      <w:r>
        <w:t xml:space="preserve">What would constitute a strong report?</w:t>
      </w:r>
    </w:p>
    <w:bookmarkStart w:id="26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15"/>
        </w:numPr>
      </w:pPr>
      <w:r>
        <w:t xml:space="preserve">Adjusted EPS of approximately</w:t>
      </w:r>
      <w:r>
        <w:t xml:space="preserve"> </w:t>
      </w:r>
      <w:r>
        <w:rPr>
          <w:b/>
          <w:bCs/>
        </w:rPr>
        <w:t xml:space="preserve">$0.84 or better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t xml:space="preserve">Organic sales better than the roughly -2% consensus.</w:t>
      </w:r>
    </w:p>
    <w:p>
      <w:pPr>
        <w:pStyle w:val="Compact"/>
        <w:numPr>
          <w:ilvl w:val="0"/>
          <w:numId w:val="1015"/>
        </w:numPr>
      </w:pPr>
      <w:r>
        <w:t xml:space="preserve">Americas residential materially better than the prior mid-teens decline forecast.</w:t>
      </w:r>
    </w:p>
    <w:p>
      <w:pPr>
        <w:pStyle w:val="Compact"/>
        <w:numPr>
          <w:ilvl w:val="0"/>
          <w:numId w:val="1015"/>
        </w:numPr>
      </w:pPr>
      <w:r>
        <w:t xml:space="preserve">Americas margin at or above</w:t>
      </w:r>
      <w:r>
        <w:t xml:space="preserve"> </w:t>
      </w:r>
      <w:r>
        <w:rPr>
          <w:b/>
          <w:bCs/>
        </w:rPr>
        <w:t xml:space="preserve">24%</w:t>
      </w:r>
      <w:r>
        <w:t xml:space="preserve"> </w:t>
      </w:r>
      <w:r>
        <w:t xml:space="preserve">despite tariff costs.</w:t>
      </w:r>
    </w:p>
    <w:p>
      <w:pPr>
        <w:pStyle w:val="Compact"/>
        <w:numPr>
          <w:ilvl w:val="0"/>
          <w:numId w:val="1015"/>
        </w:numPr>
      </w:pPr>
      <w:r>
        <w:t xml:space="preserve">Commercial HVAC orders remain exceptionally strong.</w:t>
      </w:r>
    </w:p>
    <w:p>
      <w:pPr>
        <w:pStyle w:val="Compact"/>
        <w:numPr>
          <w:ilvl w:val="0"/>
          <w:numId w:val="1015"/>
        </w:numPr>
      </w:pPr>
      <w:r>
        <w:t xml:space="preserve">2026 data-center sales increased above $1.5 billion or management signals clear upside.</w:t>
      </w:r>
    </w:p>
    <w:p>
      <w:pPr>
        <w:pStyle w:val="Compact"/>
        <w:numPr>
          <w:ilvl w:val="0"/>
          <w:numId w:val="1015"/>
        </w:numPr>
      </w:pPr>
      <w:r>
        <w:t xml:space="preserve">Initial 2027 data-center capacity or revenue framework materially above $2.5 billion.</w:t>
      </w:r>
    </w:p>
    <w:p>
      <w:pPr>
        <w:pStyle w:val="Compact"/>
        <w:numPr>
          <w:ilvl w:val="0"/>
          <w:numId w:val="1015"/>
        </w:numPr>
      </w:pPr>
      <w:r>
        <w:t xml:space="preserve">Full-year EPS or operating-profit guidance raised.</w:t>
      </w:r>
    </w:p>
    <w:p>
      <w:pPr>
        <w:pStyle w:val="Compact"/>
        <w:numPr>
          <w:ilvl w:val="0"/>
          <w:numId w:val="1015"/>
        </w:numPr>
      </w:pPr>
      <w:r>
        <w:t xml:space="preserve">No deterioration in free-cash-flow expectations.</w:t>
      </w:r>
    </w:p>
    <w:bookmarkEnd w:id="26"/>
    <w:bookmarkStart w:id="27" w:name="acceptablebase-case"/>
    <w:p>
      <w:pPr>
        <w:pStyle w:val="Heading3"/>
      </w:pPr>
      <w:r>
        <w:t xml:space="preserve">Acceptable/base case</w:t>
      </w:r>
    </w:p>
    <w:p>
      <w:pPr>
        <w:pStyle w:val="Compact"/>
        <w:numPr>
          <w:ilvl w:val="0"/>
          <w:numId w:val="1016"/>
        </w:numPr>
      </w:pPr>
      <w:r>
        <w:t xml:space="preserve">EPS around</w:t>
      </w:r>
      <w:r>
        <w:t xml:space="preserve"> </w:t>
      </w:r>
      <m:oMath>
        <m:r>
          <m:t>0.80</m:t>
        </m:r>
        <m:r>
          <m:rPr>
            <m:sty m:val="p"/>
          </m:rPr>
          <m:t>–</m:t>
        </m:r>
      </m:oMath>
      <w:r>
        <w:rPr>
          <w:b/>
          <w:bCs/>
        </w:rPr>
        <w:t xml:space="preserve">0.83</w:t>
      </w:r>
      <w:r>
        <w:t xml:space="preserve">.</w:t>
      </w:r>
    </w:p>
    <w:p>
      <w:pPr>
        <w:pStyle w:val="Compact"/>
        <w:numPr>
          <w:ilvl w:val="0"/>
          <w:numId w:val="1016"/>
        </w:numPr>
      </w:pPr>
      <w:r>
        <w:t xml:space="preserve">Revenue close to $6 billion.</w:t>
      </w:r>
    </w:p>
    <w:p>
      <w:pPr>
        <w:pStyle w:val="Compact"/>
        <w:numPr>
          <w:ilvl w:val="0"/>
          <w:numId w:val="1016"/>
        </w:numPr>
      </w:pPr>
      <w:r>
        <w:t xml:space="preserve">Residential and European heat pumps better, offset by China or transportation.</w:t>
      </w:r>
    </w:p>
    <w:p>
      <w:pPr>
        <w:pStyle w:val="Compact"/>
        <w:numPr>
          <w:ilvl w:val="0"/>
          <w:numId w:val="1016"/>
        </w:numPr>
      </w:pPr>
      <w:r>
        <w:t xml:space="preserve">Data-center orders remain strong but 2026 sales guidance stays at $1.5 billion.</w:t>
      </w:r>
    </w:p>
    <w:p>
      <w:pPr>
        <w:pStyle w:val="Compact"/>
        <w:numPr>
          <w:ilvl w:val="0"/>
          <w:numId w:val="1016"/>
        </w:numPr>
      </w:pPr>
      <w:r>
        <w:t xml:space="preserve">Full-year guidance reaffirmed.</w:t>
      </w:r>
    </w:p>
    <w:p>
      <w:pPr>
        <w:pStyle w:val="Compact"/>
        <w:numPr>
          <w:ilvl w:val="0"/>
          <w:numId w:val="1016"/>
        </w:numPr>
      </w:pPr>
      <w:r>
        <w:t xml:space="preserve">Management maintains second-half price/cost neutrality.</w:t>
      </w:r>
    </w:p>
    <w:bookmarkEnd w:id="27"/>
    <w:bookmarkStart w:id="28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17"/>
        </w:numPr>
      </w:pPr>
      <w:r>
        <w:t xml:space="preserve">EPS below approximately</w:t>
      </w:r>
      <w:r>
        <w:t xml:space="preserve"> </w:t>
      </w:r>
      <w:r>
        <w:rPr>
          <w:b/>
          <w:bCs/>
        </w:rPr>
        <w:t xml:space="preserve">$0.78</w:t>
      </w:r>
      <w:r>
        <w:t xml:space="preserve"> </w:t>
      </w:r>
      <w:r>
        <w:t xml:space="preserve">or adjusted margin below 17%.</w:t>
      </w:r>
    </w:p>
    <w:p>
      <w:pPr>
        <w:pStyle w:val="Compact"/>
        <w:numPr>
          <w:ilvl w:val="0"/>
          <w:numId w:val="1017"/>
        </w:numPr>
      </w:pPr>
      <w:r>
        <w:t xml:space="preserve">Weak June residential movement after the April price-related pull-forward.</w:t>
      </w:r>
    </w:p>
    <w:p>
      <w:pPr>
        <w:pStyle w:val="Compact"/>
        <w:numPr>
          <w:ilvl w:val="0"/>
          <w:numId w:val="1017"/>
        </w:numPr>
      </w:pPr>
      <w:r>
        <w:t xml:space="preserve">Distributor inventory rises without corresponding sell-through.</w:t>
      </w:r>
    </w:p>
    <w:p>
      <w:pPr>
        <w:pStyle w:val="Compact"/>
        <w:numPr>
          <w:ilvl w:val="0"/>
          <w:numId w:val="1017"/>
        </w:numPr>
      </w:pPr>
      <w:r>
        <w:t xml:space="preserve">Data-center deliveries slip or execution costs pressure margins.</w:t>
      </w:r>
    </w:p>
    <w:p>
      <w:pPr>
        <w:pStyle w:val="Compact"/>
        <w:numPr>
          <w:ilvl w:val="0"/>
          <w:numId w:val="1017"/>
        </w:numPr>
      </w:pPr>
      <w:r>
        <w:t xml:space="preserve">Orders slow materially from Q1 levels.</w:t>
      </w:r>
    </w:p>
    <w:p>
      <w:pPr>
        <w:pStyle w:val="Compact"/>
        <w:numPr>
          <w:ilvl w:val="0"/>
          <w:numId w:val="1017"/>
        </w:numPr>
      </w:pPr>
      <w:r>
        <w:t xml:space="preserve">Pricing fails to cover tariffs and commodities.</w:t>
      </w:r>
    </w:p>
    <w:p>
      <w:pPr>
        <w:pStyle w:val="Compact"/>
        <w:numPr>
          <w:ilvl w:val="0"/>
          <w:numId w:val="1017"/>
        </w:numPr>
      </w:pPr>
      <w:r>
        <w:t xml:space="preserve">Europe remains promotional and misses its margin plan.</w:t>
      </w:r>
    </w:p>
    <w:p>
      <w:pPr>
        <w:pStyle w:val="Compact"/>
        <w:numPr>
          <w:ilvl w:val="0"/>
          <w:numId w:val="1017"/>
        </w:numPr>
      </w:pPr>
      <w:r>
        <w:t xml:space="preserve">Management trims free cash flow, operating profit or EPS guidance.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questions-management-should-answer"/>
    <w:p>
      <w:pPr>
        <w:pStyle w:val="Heading2"/>
      </w:pPr>
      <w:r>
        <w:t xml:space="preserve">Questions management should answer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How much did data-center orders grow in Q2, and what portion is scheduled for 2027 or later?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Is $1.5 billion still the formal 2026 data-center sales target, or is Carrier now planning to exceed it?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What 2027 revenue capacity will the proposed U.S. investment support?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How much of Q2 residential demand reflected weather or pre-buying ahead of price increases?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Where did distributor inventory finish June, and how did shipments compare with movement?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What pricing realization did Carrier achieve after reducing its tariff-related increase?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Is price now expected to offset input costs fully in Q3 and Q4?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Are data-center margins already accretive after including engineering, commissioning and capacity expenses?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When will European heat-pump growth translate into sustained double-digit segment margins?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Will higher capital spending affect the $2 billion free-cash-flow target or $1.5 billion repurchase plan?</w:t>
      </w:r>
    </w:p>
    <w:p>
      <w:r>
        <w:pict>
          <v:rect style="width:0;height:1.5pt" o:hralign="center" o:hrstd="t" o:hr="t"/>
        </w:pict>
      </w:r>
    </w:p>
    <w:bookmarkEnd w:id="30"/>
    <w:bookmarkStart w:id="3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Carrier appears positioned to meet or modestly exceed Q2 expectations. The company had good visibility to its approximately $6 billion revenue and $0.80 EPS framework in early June, while North American residential HVAC and European heat pumps were performing better than planned.</w:t>
      </w:r>
    </w:p>
    <w:p>
      <w:pPr>
        <w:pStyle w:val="BodyText"/>
      </w:pPr>
      <w:r>
        <w:t xml:space="preserve">But tomorrow’s investment debate will not be decided by one or two cents of EPS. The stock’s rerating means investors need evidence that:</w:t>
      </w:r>
    </w:p>
    <w:p>
      <w:pPr>
        <w:pStyle w:val="Compact"/>
        <w:numPr>
          <w:ilvl w:val="0"/>
          <w:numId w:val="1019"/>
        </w:numPr>
      </w:pPr>
      <w:r>
        <w:t xml:space="preserve">Data-center demand is still accelerating.</w:t>
      </w:r>
    </w:p>
    <w:p>
      <w:pPr>
        <w:pStyle w:val="Compact"/>
        <w:numPr>
          <w:ilvl w:val="0"/>
          <w:numId w:val="1019"/>
        </w:numPr>
      </w:pPr>
      <w:r>
        <w:t xml:space="preserve">Carrier can convert that demand into revenue without execution or margin problems.</w:t>
      </w:r>
    </w:p>
    <w:p>
      <w:pPr>
        <w:pStyle w:val="Compact"/>
        <w:numPr>
          <w:ilvl w:val="0"/>
          <w:numId w:val="1019"/>
        </w:numPr>
      </w:pPr>
      <w:r>
        <w:t xml:space="preserve">Residential HVAC is forming a sustainable bottom.</w:t>
      </w:r>
    </w:p>
    <w:p>
      <w:pPr>
        <w:pStyle w:val="Compact"/>
        <w:numPr>
          <w:ilvl w:val="0"/>
          <w:numId w:val="1019"/>
        </w:numPr>
      </w:pPr>
      <w:r>
        <w:t xml:space="preserve">Pricing can offset tariffs without sacrificing share.</w:t>
      </w:r>
    </w:p>
    <w:p>
      <w:pPr>
        <w:pStyle w:val="Compact"/>
        <w:numPr>
          <w:ilvl w:val="0"/>
          <w:numId w:val="1019"/>
        </w:numPr>
      </w:pPr>
      <w:r>
        <w:t xml:space="preserve">Europe is finally moving from integration and promotion costs toward profitable growth.</w:t>
      </w:r>
    </w:p>
    <w:p>
      <w:pPr>
        <w:pStyle w:val="FirstParagraph"/>
      </w:pPr>
      <w:r>
        <w:rPr>
          <w:b/>
          <w:bCs/>
        </w:rPr>
        <w:t xml:space="preserve">The highest-quality result would pair a clean Q2 beat with stronger commercial orders, disciplined channel inventory, healthy margins and a materially improved 2027 data-center setup.</w:t>
      </w:r>
    </w:p>
    <w:p>
      <w:pPr>
        <w:pStyle w:val="BodyText"/>
      </w:pPr>
      <w:r>
        <w:rPr>
          <w:i/>
          <w:iCs/>
        </w:rPr>
        <w:t xml:space="preserve">Research reviewed: Carrier’s Q1 2026 earnings release, earnings-call transcript and Form 10-Q; its June 9, 2026 Wells Fargo conference remarks; recent company filings and news; and market data through July 27, 2026.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2026-07-28T00:03:55Z</dcterms:created>
  <dcterms:modified xsi:type="dcterms:W3CDTF">2026-07-28T00:03:55Z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