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84a7816945364aabf301c62b60b679c1e40fdf"/>
    <w:p>
      <w:pPr>
        <w:pStyle w:val="Heading1"/>
      </w:pPr>
      <w:r>
        <w:t xml:space="preserve">Carrier Global (NYSE: CARR) — 2Q26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Tuesday, July 28, 2026, before U.S. market open</w:t>
      </w:r>
      <w:r>
        <w:br/>
      </w:r>
      <w:r>
        <w:rPr>
          <w:b/>
          <w:bCs/>
        </w:rPr>
        <w:t xml:space="preserve">Event:</w:t>
      </w:r>
      <w:r>
        <w:t xml:space="preserve"> </w:t>
      </w:r>
      <w:r>
        <w:t xml:space="preserve">2026 Q2 Earnings Call</w:t>
      </w:r>
      <w:r>
        <w:br/>
      </w:r>
      <w:r>
        <w:rPr>
          <w:b/>
          <w:bCs/>
        </w:rPr>
        <w:t xml:space="preserve">Preview takeaway:</w:t>
      </w:r>
      <w:r>
        <w:t xml:space="preserve"> </w:t>
      </w:r>
      <w:r>
        <w:t xml:space="preserve">Carrier enters 2Q with expectations that are broadly aligned with management’s April outlook, but the stock’s reaction is likely to hinge less on a modest EPS beat/miss and more on evidence that (1) data-center revenue is ramping as planned, (2) tariff-related price/cost pressure is manageable, and (3) North American residential HVAC demand has not deteriorated after pre-price-increase activity in April.</w:t>
      </w:r>
    </w:p>
    <w:bookmarkStart w:id="9" w:name="what-the-market-expects"/>
    <w:p>
      <w:pPr>
        <w:pStyle w:val="Heading2"/>
      </w:pPr>
      <w:r>
        <w:t xml:space="preserve">What the market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expectation /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Implied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Just below</w:t>
            </w:r>
            <w:r>
              <w:t xml:space="preserve"> </w:t>
            </w:r>
            <w:r>
              <w:rPr>
                <w:b/>
                <w:bCs/>
              </w:rPr>
              <w:t xml:space="preserve">$6.0B</w:t>
            </w:r>
            <w:r>
              <w:t xml:space="preserve"> </w:t>
            </w:r>
            <w:r>
              <w:t xml:space="preserve">management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$6.11B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Slight decline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Street:</w:t>
            </w:r>
            <w:r>
              <w:t xml:space="preserve"> </w:t>
            </w:r>
            <w:r>
              <w:rPr>
                <w:b/>
                <w:bCs/>
              </w:rPr>
              <w:t xml:space="preserve">~(2)%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Deceleration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~17%</w:t>
            </w:r>
            <w:r>
              <w:t xml:space="preserve"> </w:t>
            </w:r>
            <w:r>
              <w:t xml:space="preserve">management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~210 bps lower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Street:</w:t>
            </w:r>
            <w:r>
              <w:t xml:space="preserve"> </w:t>
            </w:r>
            <m:oMath>
              <m:r>
                <m:t>0.81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;</m:t>
              </m:r>
              <m:r>
                <m:t>m</m:t>
              </m:r>
              <m:r>
                <m:t>a</m:t>
              </m:r>
              <m:r>
                <m:t>n</m:t>
              </m:r>
              <m:r>
                <m:t>a</m:t>
              </m:r>
              <m:r>
                <m:t>g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t> </m:t>
              </m:r>
            </m:oMath>
            <w:r>
              <w:rPr>
                <w:b/>
                <w:bCs/>
              </w:rPr>
              <w:t xml:space="preserve">0.80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~12–13% lower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“A few hundred million” management guide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$568M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Lower, but seasonally positive</w:t>
            </w:r>
          </w:p>
        </w:tc>
      </w:tr>
    </w:tbl>
    <w:p>
      <w:pPr>
        <w:pStyle w:val="BodyText"/>
      </w:pPr>
      <w:r>
        <w:t xml:space="preserve">The setup is not demanding on the headline quarter: management guided to revenue just below $6 billion, ~17% adjusted operating margin, a 24% tax rate, and roughly $0.80 of adjusted EPS. The key issue is whether the company can preserve its</w:t>
      </w:r>
      <w:r>
        <w:t xml:space="preserve"> </w:t>
      </w:r>
      <w:r>
        <w:rPr>
          <w:b/>
          <w:bCs/>
        </w:rPr>
        <w:t xml:space="preserve">full-year</w:t>
      </w:r>
      <w:r>
        <w:rPr>
          <w:b/>
          <w:bCs/>
        </w:rPr>
        <w:t xml:space="preserve"> </w:t>
      </w:r>
      <m:oMath>
        <m:r>
          <m:t>2.80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rPr>
            <m:sty m:val="p"/>
          </m:rPr>
          <m:t>−</m:t>
        </m:r>
        <m:r>
          <m:t>E</m:t>
        </m:r>
        <m:r>
          <m:t>P</m:t>
        </m:r>
        <m:r>
          <m:t>S</m:t>
        </m:r>
        <m:r>
          <m:t>a</m:t>
        </m:r>
        <m:r>
          <m:t>n</m:t>
        </m:r>
        <m:r>
          <m:t>d</m:t>
        </m:r>
        <m:r>
          <m:t> </m:t>
        </m:r>
      </m:oMath>
      <w:r>
        <w:rPr>
          <w:b/>
          <w:bCs/>
        </w:rPr>
        <w:t xml:space="preserve">2 billion FCF outlook</w:t>
      </w:r>
      <w:r>
        <w:t xml:space="preserve"> </w:t>
      </w:r>
      <w:r>
        <w:t xml:space="preserve">despite a soft near-term mix and macro uncertainty.</w:t>
      </w:r>
    </w:p>
    <w:bookmarkEnd w:id="9"/>
    <w:bookmarkStart w:id="10" w:name="X733326b80fedb5cbbc1192b1ca7fbad4b5d03b4"/>
    <w:p>
      <w:pPr>
        <w:pStyle w:val="Heading2"/>
      </w:pPr>
      <w:r>
        <w:t xml:space="preserve">Why this print matters: Carrier is a second-half story</w:t>
      </w:r>
    </w:p>
    <w:p>
      <w:pPr>
        <w:pStyle w:val="FirstParagraph"/>
      </w:pPr>
      <w:r>
        <w:t xml:space="preserve">Carrier’s 2026 plan is heavily weighted to the second half. Using the</w:t>
      </w:r>
      <w:r>
        <w:t xml:space="preserve"> </w:t>
      </w:r>
      <m:oMath>
        <m:r>
          <m:t>0.57</m:t>
        </m:r>
        <m:r>
          <m:t>d</m:t>
        </m:r>
        <m:r>
          <m:t>e</m:t>
        </m:r>
        <m:r>
          <m:t>l</m:t>
        </m:r>
        <m:r>
          <m:t>i</m:t>
        </m:r>
        <m:r>
          <m:t>v</m:t>
        </m:r>
        <m:r>
          <m:t>e</m:t>
        </m:r>
        <m:r>
          <m:t>r</m:t>
        </m:r>
        <m:r>
          <m:t>e</m:t>
        </m:r>
        <m:r>
          <m:t>d</m:t>
        </m:r>
        <m:r>
          <m:t>i</m:t>
        </m:r>
        <m:r>
          <m:t>n</m:t>
        </m:r>
        <m:r>
          <m:t>1</m:t>
        </m:r>
        <m:r>
          <m:t>Q</m:t>
        </m:r>
        <m:r>
          <m:t>a</m:t>
        </m:r>
        <m:r>
          <m:t>n</m:t>
        </m:r>
        <m:r>
          <m:t>d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a</m:t>
        </m:r>
        <m:r>
          <m:t>n</m:t>
        </m:r>
        <m:r>
          <m:t>y</m:t>
        </m:r>
        <m:r>
          <m:rPr>
            <m:sty m:val="p"/>
          </m:rPr>
          <m:t>’</m:t>
        </m:r>
        <m:r>
          <m:t>s</m:t>
        </m:r>
        <m:r>
          <m:t> </m:t>
        </m:r>
      </m:oMath>
      <w:r>
        <w:t xml:space="preserve">0.80 2Q outlook, Carrier would generate about</w:t>
      </w:r>
      <w:r>
        <w:t xml:space="preserve"> </w:t>
      </w:r>
      <m:oMath>
        <m:r>
          <m:t>1.37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t>h</m:t>
        </m:r>
        <m:r>
          <m:t>a</m:t>
        </m:r>
        <m:r>
          <m:t>l</m:t>
        </m:r>
        <m:r>
          <m:t>f</m:t>
        </m:r>
        <m:r>
          <m:rPr>
            <m:sty m:val="p"/>
          </m:rPr>
          <m:t>—</m:t>
        </m:r>
        <m:r>
          <m:t>l</m:t>
        </m:r>
        <m:r>
          <m:t>e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1.43</w:t>
      </w:r>
      <w:r>
        <w:t xml:space="preserve">, or just over half of full-year guidance, for 2H26.</w:t>
      </w:r>
    </w:p>
    <w:p>
      <w:pPr>
        <w:pStyle w:val="BodyText"/>
      </w:pPr>
      <w:r>
        <w:t xml:space="preserve">That back-half dependence is principally driven by the expected commercial-HVAC and data-center delivery ramp. Management said its data-center backlog already covers its</w:t>
      </w:r>
      <w:r>
        <w:t xml:space="preserve"> </w:t>
      </w:r>
      <w:r>
        <w:rPr>
          <w:b/>
          <w:bCs/>
        </w:rPr>
        <w:t xml:space="preserve">$1.5 billion 2026 data-center revenue target</w:t>
      </w:r>
      <w:r>
        <w:t xml:space="preserve">, while noting that deliveries are particularly back-end loaded. A credible reaffirmation—or an increase—in that target would be the clearest positive signal from the report.</w:t>
      </w:r>
    </w:p>
    <w:bookmarkEnd w:id="10"/>
    <w:bookmarkStart w:id="14" w:name="X1387c8f7db002a347feea7b46f561f7d365d7ae"/>
    <w:p>
      <w:pPr>
        <w:pStyle w:val="Heading2"/>
      </w:pPr>
      <w:r>
        <w:t xml:space="preserve">The three questions investors should focus on</w:t>
      </w:r>
    </w:p>
    <w:bookmarkStart w:id="11" w:name="X42ddfd1a5c679219a22e654e992352c7678207b"/>
    <w:p>
      <w:pPr>
        <w:pStyle w:val="Heading3"/>
      </w:pPr>
      <w:r>
        <w:t xml:space="preserve">1. Is the data-center revenue ramp on schedule?</w:t>
      </w:r>
    </w:p>
    <w:p>
      <w:pPr>
        <w:pStyle w:val="FirstParagraph"/>
      </w:pPr>
      <w:r>
        <w:t xml:space="preserve">This is the most important swing factor. In 1Q, global commercial HVAC orders increased 35%, including more than 500% growth in data-center orders. Carrier said global data-center backlog fully covered expected 2026 sales, and it is developing a broader liquid-cooling offering, including 1MW, 3MW, and eventually 5MW coolant-distribution units.</w:t>
      </w:r>
    </w:p>
    <w:p>
      <w:pPr>
        <w:pStyle w:val="BodyText"/>
      </w:pPr>
      <w:r>
        <w:t xml:space="preserve">For 2Q, investors will look for:</w:t>
      </w:r>
    </w:p>
    <w:p>
      <w:pPr>
        <w:pStyle w:val="Compact"/>
        <w:numPr>
          <w:ilvl w:val="0"/>
          <w:numId w:val="1001"/>
        </w:numPr>
      </w:pPr>
      <w:r>
        <w:t xml:space="preserve">Confirmation that the</w:t>
      </w:r>
      <w:r>
        <w:t xml:space="preserve"> </w:t>
      </w:r>
      <w:r>
        <w:rPr>
          <w:b/>
          <w:bCs/>
        </w:rPr>
        <w:t xml:space="preserve">$1.5B 2026 data-center-sales target</w:t>
      </w:r>
      <w:r>
        <w:t xml:space="preserve"> </w:t>
      </w:r>
      <w:r>
        <w:t xml:space="preserve">remains fully supported by production capacity, project timing, and customer acceptance.</w:t>
      </w:r>
    </w:p>
    <w:p>
      <w:pPr>
        <w:pStyle w:val="Compact"/>
        <w:numPr>
          <w:ilvl w:val="0"/>
          <w:numId w:val="1001"/>
        </w:numPr>
      </w:pPr>
      <w:r>
        <w:t xml:space="preserve">Evidence of incremental bookings for 2026 or early 2027.</w:t>
      </w:r>
    </w:p>
    <w:p>
      <w:pPr>
        <w:pStyle w:val="Compact"/>
        <w:numPr>
          <w:ilvl w:val="0"/>
          <w:numId w:val="1001"/>
        </w:numPr>
      </w:pPr>
      <w:r>
        <w:t xml:space="preserve">Commentary on margin: management has characterized data-center revenue as accretive to its commercial-HVAC margins, but investors will want proof as shipments ramp.</w:t>
      </w:r>
    </w:p>
    <w:p>
      <w:pPr>
        <w:pStyle w:val="Compact"/>
        <w:numPr>
          <w:ilvl w:val="0"/>
          <w:numId w:val="1001"/>
        </w:numPr>
      </w:pPr>
      <w:r>
        <w:t xml:space="preserve">Updates on CDUs, integrated “QuantumLeap” system wins, and the ZutaCore partnership.</w:t>
      </w:r>
    </w:p>
    <w:p>
      <w:pPr>
        <w:pStyle w:val="FirstParagraph"/>
      </w:pPr>
      <w:r>
        <w:rPr>
          <w:b/>
          <w:bCs/>
        </w:rPr>
        <w:t xml:space="preserve">Bullish read-through:</w:t>
      </w:r>
      <w:r>
        <w:t xml:space="preserve"> </w:t>
      </w:r>
      <w:r>
        <w:t xml:space="preserve">Carrier raises its 2026 data-center-sales target, discusses stronger-than-planned second-half shipments, or signals its commercial backlog is converting smoothly.</w:t>
      </w:r>
    </w:p>
    <w:p>
      <w:pPr>
        <w:pStyle w:val="BodyText"/>
      </w:pPr>
      <w:r>
        <w:rPr>
          <w:b/>
          <w:bCs/>
        </w:rPr>
        <w:t xml:space="preserve">Risk:</w:t>
      </w:r>
      <w:r>
        <w:t xml:space="preserve"> </w:t>
      </w:r>
      <w:r>
        <w:t xml:space="preserve">The backlog is intact but project execution, engineering, component availability, or customer site readiness shifts revenue to 2027.</w:t>
      </w:r>
    </w:p>
    <w:bookmarkEnd w:id="11"/>
    <w:bookmarkStart w:id="12" w:name="X0d1455cfc38e427352ed8ec98894e730860d655"/>
    <w:p>
      <w:pPr>
        <w:pStyle w:val="Heading3"/>
      </w:pPr>
      <w:r>
        <w:t xml:space="preserve">2. Did April demand pull forward ahead of price increases?</w:t>
      </w:r>
    </w:p>
    <w:p>
      <w:pPr>
        <w:pStyle w:val="FirstParagraph"/>
      </w:pPr>
      <w:r>
        <w:t xml:space="preserve">Carrier’s North American residential business remains the principal near-term drag. In 1Q, CSA Residential sales fell about 12%, while CSA segment margin compressed 730 bps because lower residential volumes caused factory under-absorption.</w:t>
      </w:r>
    </w:p>
    <w:p>
      <w:pPr>
        <w:pStyle w:val="BodyText"/>
      </w:pPr>
      <w:r>
        <w:t xml:space="preserve">Management expected 2Q CSA revenue to decline roughly mid-single digits, with Residential still down around the mid-teens and Light Commercial down mid-single digits. April movement was better than expected, but management explicitly cautioned that some demand may have been pulled forward before an April 27 price increase.</w:t>
      </w:r>
    </w:p>
    <w:p>
      <w:pPr>
        <w:pStyle w:val="BodyText"/>
      </w:pPr>
      <w:r>
        <w:t xml:space="preserve">The report needs to clarify:</w:t>
      </w:r>
    </w:p>
    <w:p>
      <w:pPr>
        <w:pStyle w:val="Compact"/>
        <w:numPr>
          <w:ilvl w:val="0"/>
          <w:numId w:val="1002"/>
        </w:numPr>
      </w:pPr>
      <w:r>
        <w:t xml:space="preserve">Whether May and June residential movement held up after the April price increase.</w:t>
      </w:r>
    </w:p>
    <w:p>
      <w:pPr>
        <w:pStyle w:val="Compact"/>
        <w:numPr>
          <w:ilvl w:val="0"/>
          <w:numId w:val="1002"/>
        </w:numPr>
      </w:pPr>
      <w:r>
        <w:t xml:space="preserve">Current distributor and field-inventory levels; these were down roughly 35% year over year at the end of 1Q, which limits a major inventory-correction risk but also caps a channel-restocking tailwind.</w:t>
      </w:r>
    </w:p>
    <w:p>
      <w:pPr>
        <w:pStyle w:val="Compact"/>
        <w:numPr>
          <w:ilvl w:val="0"/>
          <w:numId w:val="1002"/>
        </w:numPr>
      </w:pPr>
      <w:r>
        <w:t xml:space="preserve">Whether cooling-season demand, replacement activity, and dealer order patterns support Carrier’s cautious full-year residential outlook.</w:t>
      </w:r>
    </w:p>
    <w:p>
      <w:pPr>
        <w:pStyle w:val="Compact"/>
        <w:numPr>
          <w:ilvl w:val="0"/>
          <w:numId w:val="1002"/>
        </w:numPr>
      </w:pPr>
      <w:r>
        <w:t xml:space="preserve">Whether Carrier is maintaining share while pricing through higher costs.</w:t>
      </w:r>
    </w:p>
    <w:p>
      <w:pPr>
        <w:pStyle w:val="FirstParagraph"/>
      </w:pPr>
      <w:r>
        <w:rPr>
          <w:b/>
          <w:bCs/>
        </w:rPr>
        <w:t xml:space="preserve">Bullish read-through:</w:t>
      </w:r>
      <w:r>
        <w:t xml:space="preserve"> </w:t>
      </w:r>
      <w:r>
        <w:t xml:space="preserve">Residential declines moderate without inventory rebuilding, supporting the case for a normalized replacement cycle in 2027.</w:t>
      </w:r>
    </w:p>
    <w:p>
      <w:pPr>
        <w:pStyle w:val="BodyText"/>
      </w:pPr>
      <w:r>
        <w:rPr>
          <w:b/>
          <w:bCs/>
        </w:rPr>
        <w:t xml:space="preserve">Risk:</w:t>
      </w:r>
      <w:r>
        <w:t xml:space="preserve"> </w:t>
      </w:r>
      <w:r>
        <w:t xml:space="preserve">April was substantially price-pull-forward activity, followed by a weak May/June exit rate—raising doubt around the second-half CSA margin recovery.</w:t>
      </w:r>
    </w:p>
    <w:bookmarkEnd w:id="12"/>
    <w:bookmarkStart w:id="13" w:name="X4a3ccb7e30c74ef80ddd92abbc10061556640ec"/>
    <w:p>
      <w:pPr>
        <w:pStyle w:val="Heading3"/>
      </w:pPr>
      <w:r>
        <w:t xml:space="preserve">3. Is tariff-related price/cost pressure contained?</w:t>
      </w:r>
    </w:p>
    <w:p>
      <w:pPr>
        <w:pStyle w:val="FirstParagraph"/>
      </w:pPr>
      <w:r>
        <w:t xml:space="preserve">Carrier increased expected 2026 pricing by roughly two points to offset tariff, fuel, and commodity costs. Management indicated that about 75% of the incremental cost pressure was tied to Section 232 tariffs. Because Carrier uses LIFO accounting, it expected a modest price/cost timing headwind in 2Q, becoming neutral in 3Q and 4Q.</w:t>
      </w:r>
    </w:p>
    <w:p>
      <w:pPr>
        <w:pStyle w:val="BodyText"/>
      </w:pPr>
      <w:r>
        <w:t xml:space="preserve">This makes 2Q margin performance particularly important. The ~17% company margin guide already incorporates pressure from:</w:t>
      </w:r>
    </w:p>
    <w:p>
      <w:pPr>
        <w:pStyle w:val="Compact"/>
        <w:numPr>
          <w:ilvl w:val="0"/>
          <w:numId w:val="1003"/>
        </w:numPr>
      </w:pPr>
      <w:r>
        <w:t xml:space="preserve">Lower Residential and Light Commercial mix in CSA;</w:t>
      </w:r>
    </w:p>
    <w:p>
      <w:pPr>
        <w:pStyle w:val="Compact"/>
        <w:numPr>
          <w:ilvl w:val="0"/>
          <w:numId w:val="1003"/>
        </w:numPr>
      </w:pPr>
      <w:r>
        <w:t xml:space="preserve">Lower commercial volume and promotion-related pressure in Europe;</w:t>
      </w:r>
    </w:p>
    <w:p>
      <w:pPr>
        <w:pStyle w:val="Compact"/>
        <w:numPr>
          <w:ilvl w:val="0"/>
          <w:numId w:val="1003"/>
        </w:numPr>
      </w:pPr>
      <w:r>
        <w:t xml:space="preserve">Ongoing China Residential/Light Commercial weakness; and</w:t>
      </w:r>
    </w:p>
    <w:p>
      <w:pPr>
        <w:pStyle w:val="Compact"/>
        <w:numPr>
          <w:ilvl w:val="0"/>
          <w:numId w:val="1003"/>
        </w:numPr>
      </w:pPr>
      <w:r>
        <w:t xml:space="preserve">The initial lag between tariff costs and realized pricing.</w:t>
      </w:r>
    </w:p>
    <w:p>
      <w:pPr>
        <w:pStyle w:val="FirstParagraph"/>
      </w:pPr>
      <w:r>
        <w:t xml:space="preserve">Investors should listen for the cadence of price realization, channel elasticity, and whether the company still expects dollar-for-dollar recovery of 2026 input-cost inflation. Any sign that pricing is sticking while volumes remain orderly would strengthen confidence in the 2H margin bridge.</w:t>
      </w:r>
    </w:p>
    <w:bookmarkEnd w:id="13"/>
    <w:bookmarkEnd w:id="14"/>
    <w:bookmarkStart w:id="19" w:name="segment-scorecard"/>
    <w:p>
      <w:pPr>
        <w:pStyle w:val="Heading2"/>
      </w:pPr>
      <w:r>
        <w:t xml:space="preserve">Segment scorecard</w:t>
      </w:r>
    </w:p>
    <w:bookmarkStart w:id="15" w:name="Xddb7ce124e312397facebf7568d31568e49a8e3"/>
    <w:p>
      <w:pPr>
        <w:pStyle w:val="Heading3"/>
      </w:pPr>
      <w:r>
        <w:t xml:space="preserve">Climate Solutions Americas — the key earnings swing</w:t>
      </w:r>
    </w:p>
    <w:p>
      <w:pPr>
        <w:pStyle w:val="FirstParagraph"/>
      </w:pPr>
      <w:r>
        <w:t xml:space="preserve">CSA had 1Q organic sales down 3% and segment margin of 14.9%, versus 22.2% a year earlier. The weakness was almost entirely tied to Residential volume and under-absorption, partly offset by resilient Light Commercial and Commercial HVAC.</w:t>
      </w:r>
    </w:p>
    <w:p>
      <w:pPr>
        <w:pStyle w:val="BodyText"/>
      </w:pPr>
      <w:r>
        <w:t xml:space="preserve">For 2Q, management previously indicated: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Organic sales:</w:t>
      </w:r>
      <w:r>
        <w:t xml:space="preserve"> </w:t>
      </w:r>
      <w:r>
        <w:t xml:space="preserve">roughly mid-single-digit decline;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Margin:</w:t>
      </w:r>
      <w:r>
        <w:t xml:space="preserve"> </w:t>
      </w:r>
      <w:r>
        <w:t xml:space="preserve">about</w:t>
      </w:r>
      <w:r>
        <w:t xml:space="preserve"> </w:t>
      </w:r>
      <w:r>
        <w:rPr>
          <w:b/>
          <w:bCs/>
        </w:rPr>
        <w:t xml:space="preserve">24%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Residential:</w:t>
      </w:r>
      <w:r>
        <w:t xml:space="preserve"> </w:t>
      </w:r>
      <w:r>
        <w:t xml:space="preserve">down around mid-teens;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Light Commercial:</w:t>
      </w:r>
      <w:r>
        <w:t xml:space="preserve"> </w:t>
      </w:r>
      <w:r>
        <w:t xml:space="preserve">down around mid-single digits.</w:t>
      </w:r>
    </w:p>
    <w:p>
      <w:pPr>
        <w:pStyle w:val="FirstParagraph"/>
      </w:pPr>
      <w:r>
        <w:t xml:space="preserve">The year-over-year comparison is difficult: CSA posted 27.0% margin in 2Q25, supported by 14% organic sales growth and 45% Commercial growth. Still, achieving the guided ~24% margin would demonstrate that seasonality, pricing, and productivity are offsetting much of the residual unfavorable mix.</w:t>
      </w:r>
    </w:p>
    <w:bookmarkEnd w:id="15"/>
    <w:bookmarkStart w:id="16" w:name="X1e8fb50c6595a810d4d02d5addbf659480db1a7"/>
    <w:p>
      <w:pPr>
        <w:pStyle w:val="Heading3"/>
      </w:pPr>
      <w:r>
        <w:t xml:space="preserve">Climate Solutions Europe — heat-pump improvement vs. margin repair</w:t>
      </w:r>
    </w:p>
    <w:p>
      <w:pPr>
        <w:pStyle w:val="FirstParagraph"/>
      </w:pPr>
      <w:r>
        <w:t xml:space="preserve">Europe showed a potentially constructive demand inflection in 1Q. Carrier cited low-teens European heat-pump growth, with Germany particularly strong, helped by a more favorable electricity-to-natural-gas relationship. However, CSE margin fell to 6.9% in 1Q because of lower Commercial volume and heavier-than-planned promotions.</w:t>
      </w:r>
    </w:p>
    <w:p>
      <w:pPr>
        <w:pStyle w:val="BodyText"/>
      </w:pPr>
      <w:r>
        <w:t xml:space="preserve">For 2Q, Carrier guided to low-single-digit organic growth and margin closer to 10%. Investors should assess whether April pricing and surcharges have begun to reverse 1Q promotional pressure, and whether the heat-pump recovery is durable beyond Germany.</w:t>
      </w:r>
    </w:p>
    <w:bookmarkEnd w:id="16"/>
    <w:bookmarkStart w:id="17" w:name="csame--china-remains-the-weak-link"/>
    <w:p>
      <w:pPr>
        <w:pStyle w:val="Heading3"/>
      </w:pPr>
      <w:r>
        <w:t xml:space="preserve">CSAME — China remains the weak link</w:t>
      </w:r>
    </w:p>
    <w:p>
      <w:pPr>
        <w:pStyle w:val="FirstParagraph"/>
      </w:pPr>
      <w:r>
        <w:t xml:space="preserve">CSAME organic sales declined 1% in 1Q, with China RLC down roughly 25%. Commercial HVAC outside China—particularly India and Australia—remained strong, but did not fully offset China weakness. The Middle East conflict was also expected to create a modest 2026 margin headwind.</w:t>
      </w:r>
    </w:p>
    <w:p>
      <w:pPr>
        <w:pStyle w:val="BodyText"/>
      </w:pPr>
      <w:r>
        <w:t xml:space="preserve">The relevant question is not whether China has fully recovered—it likely has not—but whether declines are stabilizing and whether commercial opportunities, including data centers, can increasingly offset residential weakness.</w:t>
      </w:r>
    </w:p>
    <w:bookmarkEnd w:id="17"/>
    <w:bookmarkStart w:id="18" w:name="Xb0dee1da9bb7c26aa8e770502b50e463310bafd"/>
    <w:p>
      <w:pPr>
        <w:pStyle w:val="Heading3"/>
      </w:pPr>
      <w:r>
        <w:t xml:space="preserve">Climate Solutions Transportation — Container strength offsets truck/trailer softness</w:t>
      </w:r>
    </w:p>
    <w:p>
      <w:pPr>
        <w:pStyle w:val="FirstParagraph"/>
      </w:pPr>
      <w:r>
        <w:t xml:space="preserve">Container refrigeration has been a source of upside, with 1Q organic sales up 38% in the business. Global Truck and Trailer, however, was down high-single digits. Management expected 2Q Transportation sales to decline low single digits with mid-teens segment margin.</w:t>
      </w:r>
    </w:p>
    <w:p>
      <w:pPr>
        <w:pStyle w:val="BodyText"/>
      </w:pPr>
      <w:r>
        <w:t xml:space="preserve">A sustained Container outperformance could provide an upside offset if residential remains soft. Conversely, deterioration in Container orders or continued weak truck/trailer demand would remove one of Carrier’s few near-term cushions.</w:t>
      </w:r>
    </w:p>
    <w:bookmarkEnd w:id="18"/>
    <w:bookmarkEnd w:id="19"/>
    <w:bookmarkStart w:id="20" w:name="guidance-the-real-decision-point"/>
    <w:p>
      <w:pPr>
        <w:pStyle w:val="Heading2"/>
      </w:pPr>
      <w:r>
        <w:t xml:space="preserve">Guidance: the real decision point</w:t>
      </w:r>
    </w:p>
    <w:p>
      <w:pPr>
        <w:pStyle w:val="FirstParagraph"/>
      </w:pPr>
      <w:r>
        <w:t xml:space="preserve">Carrier reaffirmed the following outlook in April: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approximately</w:t>
      </w:r>
      <w:r>
        <w:t xml:space="preserve"> </w:t>
      </w:r>
      <w:r>
        <w:rPr>
          <w:b/>
          <w:bCs/>
        </w:rPr>
        <w:t xml:space="preserve">$22B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Organic growth:</w:t>
      </w:r>
      <w:r>
        <w:t xml:space="preserve"> </w:t>
      </w:r>
      <w:r>
        <w:t xml:space="preserve">flat to low-single digits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Adjusted operating profit:</w:t>
      </w:r>
      <w:r>
        <w:t xml:space="preserve"> </w:t>
      </w:r>
      <w:r>
        <w:t xml:space="preserve">approximately</w:t>
      </w:r>
      <w:r>
        <w:t xml:space="preserve"> </w:t>
      </w:r>
      <w:r>
        <w:rPr>
          <w:b/>
          <w:bCs/>
        </w:rPr>
        <w:t xml:space="preserve">$3.4B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Adjusted EPS:</w:t>
      </w:r>
      <w:r>
        <w:t xml:space="preserve"> </w:t>
      </w:r>
      <w:r>
        <w:t xml:space="preserve">approximately</w:t>
      </w:r>
      <w:r>
        <w:t xml:space="preserve"> </w:t>
      </w:r>
      <w:r>
        <w:rPr>
          <w:b/>
          <w:bCs/>
        </w:rPr>
        <w:t xml:space="preserve">$2.80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Free cash flow:</w:t>
      </w:r>
      <w:r>
        <w:t xml:space="preserve"> </w:t>
      </w:r>
      <w:r>
        <w:t xml:space="preserve">approximately</w:t>
      </w:r>
      <w:r>
        <w:t xml:space="preserve"> </w:t>
      </w:r>
      <w:r>
        <w:rPr>
          <w:b/>
          <w:bCs/>
        </w:rPr>
        <w:t xml:space="preserve">$2.0B</w:t>
      </w:r>
    </w:p>
    <w:p>
      <w:pPr>
        <w:pStyle w:val="FirstParagraph"/>
      </w:pPr>
      <w:r>
        <w:t xml:space="preserve">A reaffirmation would likely be viewed as acceptable if management also provides tangible evidence behind its second-half data-center ramp and price/cost recovery. A guide increase would be more meaningful than usual, given the company’s current conservatism around the residential market and the fact that its data-center backlog already covers the stated 2026 target.</w:t>
      </w:r>
    </w:p>
    <w:p>
      <w:pPr>
        <w:pStyle w:val="BodyText"/>
      </w:pPr>
      <w:r>
        <w:t xml:space="preserve">Conversely, a full-year reaffirmation without a convincing discussion of 2H shipment timing, CSA margin recovery, and tariff mitigation may not be enough for investors.</w:t>
      </w:r>
    </w:p>
    <w:bookmarkEnd w:id="20"/>
    <w:bookmarkStart w:id="21" w:name="stock-and-positioning"/>
    <w:p>
      <w:pPr>
        <w:pStyle w:val="Heading2"/>
      </w:pPr>
      <w:r>
        <w:t xml:space="preserve">Stock and positioning</w:t>
      </w:r>
    </w:p>
    <w:p>
      <w:pPr>
        <w:pStyle w:val="FirstParagraph"/>
      </w:pPr>
      <w:r>
        <w:t xml:space="preserve">CARR closed at</w:t>
      </w:r>
      <w:r>
        <w:t xml:space="preserve"> </w:t>
      </w:r>
      <w:r>
        <w:rPr>
          <w:b/>
          <w:bCs/>
        </w:rPr>
        <w:t xml:space="preserve">$69.35 on July 27</w:t>
      </w:r>
      <w:r>
        <w:t xml:space="preserve">, up about</w:t>
      </w:r>
      <w:r>
        <w:t xml:space="preserve"> </w:t>
      </w:r>
      <w:r>
        <w:rPr>
          <w:b/>
          <w:bCs/>
        </w:rPr>
        <w:t xml:space="preserve">31% year to date</w:t>
      </w:r>
      <w:r>
        <w:t xml:space="preserve">, though it remains roughly</w:t>
      </w:r>
      <w:r>
        <w:t xml:space="preserve"> </w:t>
      </w:r>
      <w:r>
        <w:rPr>
          <w:b/>
          <w:bCs/>
        </w:rPr>
        <w:t xml:space="preserve">9% below</w:t>
      </w:r>
      <w:r>
        <w:t xml:space="preserve"> </w:t>
      </w:r>
      <w:r>
        <w:t xml:space="preserve">its June 25 closing high of $76.00. The stock has therefore partially consolidated into earnings, but it still reflects meaningful investor enthusiasm for Carrier’s data-center cooling opportunity.</w:t>
      </w:r>
    </w:p>
    <w:p>
      <w:pPr>
        <w:pStyle w:val="BodyText"/>
      </w:pPr>
      <w:r>
        <w:t xml:space="preserve">That creates an asymmetric setup:</w:t>
      </w:r>
    </w:p>
    <w:p>
      <w:pPr>
        <w:pStyle w:val="Compact"/>
        <w:numPr>
          <w:ilvl w:val="0"/>
          <w:numId w:val="1006"/>
        </w:numPr>
      </w:pPr>
      <w:r>
        <w:t xml:space="preserve">A straightforward EPS beat without stronger data-center or full-year commentary may be insufficient.</w:t>
      </w:r>
    </w:p>
    <w:p>
      <w:pPr>
        <w:pStyle w:val="Compact"/>
        <w:numPr>
          <w:ilvl w:val="0"/>
          <w:numId w:val="1006"/>
        </w:numPr>
      </w:pPr>
      <w:r>
        <w:t xml:space="preserve">Confirmation that commercial/data-center growth is converting into revenue and margins could reaccelerate the bull case.</w:t>
      </w:r>
    </w:p>
    <w:p>
      <w:pPr>
        <w:pStyle w:val="Compact"/>
        <w:numPr>
          <w:ilvl w:val="0"/>
          <w:numId w:val="1006"/>
        </w:numPr>
      </w:pPr>
      <w:r>
        <w:t xml:space="preserve">Any warning on residential demand, price elasticity, tariff recovery, or data-center timing could be punished given the stock’s strong year-to-date performance.</w:t>
      </w:r>
    </w:p>
    <w:bookmarkEnd w:id="21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Carrier’s 2Q26 report is principally a</w:t>
      </w:r>
      <w:r>
        <w:t xml:space="preserve"> </w:t>
      </w:r>
      <w:r>
        <w:rPr>
          <w:b/>
          <w:bCs/>
        </w:rPr>
        <w:t xml:space="preserve">credibility test for the second-half ramp</w:t>
      </w:r>
      <w:r>
        <w:t xml:space="preserve">. The company is managing through weak U.S. residential HVAC, ongoing China pressure, and tariff-related cost inflation, while simultaneously building a high-growth commercial/data-center cooling franchise.</w:t>
      </w:r>
    </w:p>
    <w:p>
      <w:pPr>
        <w:pStyle w:val="BodyText"/>
      </w:pPr>
      <w:r>
        <w:t xml:space="preserve">The most constructive outcome would be:</w:t>
      </w:r>
    </w:p>
    <w:p>
      <w:pPr>
        <w:pStyle w:val="Compact"/>
        <w:numPr>
          <w:ilvl w:val="0"/>
          <w:numId w:val="1007"/>
        </w:numPr>
      </w:pPr>
      <w:r>
        <w:t xml:space="preserve">EPS at or above the ~</w:t>
      </w:r>
      <m:oMath>
        <m:r>
          <m:t>0.80</m:t>
        </m:r>
        <m:r>
          <m:rPr>
            <m:sty m:val="p"/>
          </m:rPr>
          <m:t>–</m:t>
        </m:r>
      </m:oMath>
      <w:r>
        <w:t xml:space="preserve">0.81 expectation;</w:t>
      </w:r>
    </w:p>
    <w:p>
      <w:pPr>
        <w:pStyle w:val="Compact"/>
        <w:numPr>
          <w:ilvl w:val="0"/>
          <w:numId w:val="1007"/>
        </w:numPr>
      </w:pPr>
      <w:r>
        <w:t xml:space="preserve">CSA margin around the guided 24% despite weak residential volume;</w:t>
      </w:r>
    </w:p>
    <w:p>
      <w:pPr>
        <w:pStyle w:val="Compact"/>
        <w:numPr>
          <w:ilvl w:val="0"/>
          <w:numId w:val="1007"/>
        </w:numPr>
      </w:pPr>
      <w:r>
        <w:t xml:space="preserve">Confirmation that tariff pricing is landing and becomes neutral to margins in 3Q;</w:t>
      </w:r>
    </w:p>
    <w:p>
      <w:pPr>
        <w:pStyle w:val="Compact"/>
        <w:numPr>
          <w:ilvl w:val="0"/>
          <w:numId w:val="1007"/>
        </w:numPr>
      </w:pPr>
      <w:r>
        <w:t xml:space="preserve">Strong data-center bookings and firm confirmation of the $1.5B 2026 revenue plan; and</w:t>
      </w:r>
    </w:p>
    <w:p>
      <w:pPr>
        <w:pStyle w:val="Compact"/>
        <w:numPr>
          <w:ilvl w:val="0"/>
          <w:numId w:val="1007"/>
        </w:numPr>
      </w:pPr>
      <w:r>
        <w:t xml:space="preserve">Reaffirmation—or ideally an increase—of the $2.80 full-year adjusted-EPS target.</w:t>
      </w:r>
    </w:p>
    <w:p>
      <w:pPr>
        <w:pStyle w:val="FirstParagraph"/>
      </w:pPr>
      <w:r>
        <w:t xml:space="preserve">The main downside scenario is a weak post-April residential exit rate combined with delayed data-center revenue conversion, which would make the company’s back-half earnings and cash-flow bridge appear less secure.</w:t>
      </w:r>
    </w:p>
    <w:p>
      <w:r>
        <w:pict>
          <v:rect style="width:0;height:1.5pt" o:hralign="center" o:hrstd="t" o:hr="t"/>
        </w:pict>
      </w:r>
    </w:p>
    <w:bookmarkStart w:id="22" w:name="sources-reviewed"/>
    <w:p>
      <w:pPr>
        <w:pStyle w:val="Heading3"/>
      </w:pPr>
      <w:r>
        <w:t xml:space="preserve">Sources reviewed</w:t>
      </w:r>
    </w:p>
    <w:p>
      <w:pPr>
        <w:pStyle w:val="Compact"/>
        <w:numPr>
          <w:ilvl w:val="0"/>
          <w:numId w:val="1008"/>
        </w:numPr>
      </w:pPr>
      <w:r>
        <w:t xml:space="preserve">Carrier 1Q26 earnings release and April 30, 2026 earnings-call transcript</w:t>
      </w:r>
    </w:p>
    <w:p>
      <w:pPr>
        <w:pStyle w:val="Compact"/>
        <w:numPr>
          <w:ilvl w:val="0"/>
          <w:numId w:val="1008"/>
        </w:numPr>
      </w:pPr>
      <w:r>
        <w:t xml:space="preserve">Carrier 2Q25 earnings release</w:t>
      </w:r>
    </w:p>
    <w:p>
      <w:pPr>
        <w:pStyle w:val="Compact"/>
        <w:numPr>
          <w:ilvl w:val="0"/>
          <w:numId w:val="1008"/>
        </w:numPr>
      </w:pPr>
      <w:r>
        <w:t xml:space="preserve">Carrier daily market-news digest dated July 24, 2026</w:t>
      </w:r>
    </w:p>
    <w:p>
      <w:pPr>
        <w:pStyle w:val="Compact"/>
        <w:numPr>
          <w:ilvl w:val="0"/>
          <w:numId w:val="1008"/>
        </w:numPr>
      </w:pPr>
      <w:r>
        <w:t xml:space="preserve">CARR historical share-price data through July 27, 2026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2026-07-28T00:02:44Z</dcterms:created>
  <dcterms:modified xsi:type="dcterms:W3CDTF">2026-07-28T00:02:44Z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