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Carrier Global Corporation (CARR)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Carrier Global Corporation</w:t>
            </w:r>
          </w:p>
        </w:tc>
      </w:tr>
      <w:tr>
        <w:tc>
          <w:tcPr>
            <w:tcW w:type="dxa" w:w="4320"/>
          </w:tcPr>
          <w:p>
            <w:r>
              <w:rPr>
                <w:rFonts w:ascii="Calibri" w:hAnsi="Calibri"/>
                <w:b/>
                <w:sz w:val="22"/>
              </w:rPr>
              <w:t>Ticker</w:t>
            </w:r>
          </w:p>
        </w:tc>
        <w:tc>
          <w:tcPr>
            <w:tcW w:type="dxa" w:w="4320"/>
          </w:tcPr>
          <w:p>
            <w:r>
              <w:rPr>
                <w:rFonts w:ascii="Calibri" w:hAnsi="Calibri"/>
                <w:sz w:val="22"/>
              </w:rPr>
              <w:t>CARR US</w:t>
            </w:r>
          </w:p>
        </w:tc>
      </w:tr>
      <w:tr>
        <w:tc>
          <w:tcPr>
            <w:tcW w:type="dxa" w:w="4320"/>
          </w:tcPr>
          <w:p>
            <w:r>
              <w:rPr>
                <w:rFonts w:ascii="Calibri" w:hAnsi="Calibri"/>
                <w:b/>
                <w:sz w:val="22"/>
              </w:rPr>
              <w:t>Upcoming Earnings Date</w:t>
            </w:r>
          </w:p>
        </w:tc>
        <w:tc>
          <w:tcPr>
            <w:tcW w:type="dxa" w:w="4320"/>
          </w:tcPr>
          <w:p>
            <w:r>
              <w:rPr>
                <w:rFonts w:ascii="Calibri" w:hAnsi="Calibri"/>
                <w:sz w:val="22"/>
              </w:rPr>
              <w:t>July 30, 2026 (Q2 2026)</w:t>
            </w:r>
          </w:p>
        </w:tc>
      </w:tr>
      <w:tr>
        <w:tc>
          <w:tcPr>
            <w:tcW w:type="dxa" w:w="4320"/>
          </w:tcPr>
          <w:p>
            <w:r>
              <w:rPr>
                <w:rFonts w:ascii="Calibri" w:hAnsi="Calibri"/>
                <w:b/>
                <w:sz w:val="22"/>
              </w:rPr>
              <w:t>Last Earnings Date</w:t>
            </w:r>
          </w:p>
        </w:tc>
        <w:tc>
          <w:tcPr>
            <w:tcW w:type="dxa" w:w="4320"/>
          </w:tcPr>
          <w:p>
            <w:r>
              <w:rPr>
                <w:rFonts w:ascii="Calibri" w:hAnsi="Calibri"/>
                <w:sz w:val="22"/>
              </w:rPr>
              <w:t>April 30, 2026 (Q1 2026)</w:t>
            </w:r>
          </w:p>
        </w:tc>
      </w:tr>
      <w:tr>
        <w:tc>
          <w:tcPr>
            <w:tcW w:type="dxa" w:w="4320"/>
          </w:tcPr>
          <w:p>
            <w:r>
              <w:rPr>
                <w:rFonts w:ascii="Calibri" w:hAnsi="Calibri"/>
                <w:b/>
                <w:sz w:val="22"/>
              </w:rPr>
              <w:t>Preparation Date</w:t>
            </w:r>
          </w:p>
        </w:tc>
        <w:tc>
          <w:tcPr>
            <w:tcW w:type="dxa" w:w="4320"/>
          </w:tcPr>
          <w:p>
            <w:r>
              <w:rPr>
                <w:rFonts w:ascii="Calibri" w:hAnsi="Calibri"/>
                <w:sz w:val="22"/>
              </w:rPr>
              <w:t>July 27, 2026</w:t>
            </w:r>
          </w:p>
        </w:tc>
      </w:tr>
      <w:tr>
        <w:tc>
          <w:tcPr>
            <w:tcW w:type="dxa" w:w="4320"/>
          </w:tcPr>
          <w:p>
            <w:r>
              <w:rPr>
                <w:rFonts w:ascii="Calibri" w:hAnsi="Calibri"/>
                <w:b/>
                <w:sz w:val="22"/>
              </w:rPr>
              <w:t>Sector ETF (Benchmark)</w:t>
            </w:r>
          </w:p>
        </w:tc>
        <w:tc>
          <w:tcPr>
            <w:tcW w:type="dxa" w:w="4320"/>
          </w:tcPr>
          <w:p>
            <w:r>
              <w:rPr>
                <w:rFonts w:ascii="Calibri" w:hAnsi="Calibri"/>
                <w:sz w:val="22"/>
              </w:rPr>
              <w:t>TT (Trane Technologies) — HVAC/Industrial peer</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The setup into Q2 2026 is modestly constructive — management explicitly confirmed at the June 9 Wells Fargo conference that the quarter is tracking to the guided ~$6B revenue and ~$0.80 EPS, with residential performing </w:t>
      </w:r>
      <w:r>
        <w:rPr>
          <w:rFonts w:ascii="Calibri" w:hAnsi="Calibri"/>
          <w:b/>
          <w:color w:val="525866"/>
          <w:sz w:val="22"/>
        </w:rPr>
        <w:t>better than the guided down ~15%</w:t>
      </w:r>
      <w:r>
        <w:rPr>
          <w:rFonts w:ascii="Calibri" w:hAnsi="Calibri"/>
          <w:color w:val="525866"/>
          <w:sz w:val="22"/>
        </w:rPr>
        <w:t xml:space="preserve">, making the bar achievable and the risk skewed to the upside on the short-cycle side; the single biggest swing factor is whether </w:t>
      </w:r>
      <w:r>
        <w:rPr>
          <w:rFonts w:ascii="Calibri" w:hAnsi="Calibri"/>
          <w:b/>
          <w:color w:val="525866"/>
          <w:sz w:val="22"/>
        </w:rPr>
        <w:t>data center execution delivers the implied ~$1B second-half ramp</w:t>
      </w:r>
      <w:r>
        <w:rPr>
          <w:rFonts w:ascii="Calibri" w:hAnsi="Calibri"/>
          <w:color w:val="525866"/>
          <w:sz w:val="22"/>
        </w:rPr>
        <w:t>.</w:t>
      </w:r>
    </w:p>
    <w:p>
      <w:r>
        <w:rPr>
          <w:rFonts w:ascii="Calibri" w:hAnsi="Calibri"/>
          <w:color w:val="525866"/>
          <w:sz w:val="22"/>
        </w:rPr>
        <w:t xml:space="preserve">Heading into the Q2 2026 print, the setup for CARR is one of a </w:t>
      </w:r>
      <w:r>
        <w:rPr>
          <w:rFonts w:ascii="Calibri" w:hAnsi="Calibri"/>
          <w:b/>
          <w:color w:val="525866"/>
          <w:sz w:val="22"/>
        </w:rPr>
        <w:t>confirmed, achievable bar with upside optionality</w:t>
      </w:r>
      <w:r>
        <w:rPr>
          <w:rFonts w:ascii="Calibri" w:hAnsi="Calibri"/>
          <w:color w:val="525866"/>
          <w:sz w:val="22"/>
        </w:rPr>
        <w:t xml:space="preserve"> rather than a high-risk beat-or-miss event. Management went out of its way at two investor conferences (Wolfe Research on May 19 and Wells Fargo on June 9) to reaffirm Q2 guidance of just below $6B in revenue and $0.80 of adjusted EPS, and explicitly noted that residential HVAC is tracking better than the previously guided down ~15% — a meaningful positive read-through given that resi mix has been the primary margin headwind. The guidance/tone has shifted </w:t>
      </w:r>
      <w:r>
        <w:rPr>
          <w:rFonts w:ascii="Calibri" w:hAnsi="Calibri"/>
          <w:b/>
          <w:color w:val="525866"/>
          <w:sz w:val="22"/>
        </w:rPr>
        <w:t>more confident since Q1 earnings</w:t>
      </w:r>
      <w:r>
        <w:rPr>
          <w:rFonts w:ascii="Calibri" w:hAnsi="Calibri"/>
          <w:color w:val="525866"/>
          <w:sz w:val="22"/>
        </w:rPr>
        <w:t xml:space="preserve">: management's conviction on 2027 data center demand has grown "exponentially" (their word), they are now actively planning a new North American manufacturing facility (CapEx stepping up from ~$500M to ~$600M), and the residential market is now expected to start with a "7" in units rather than the feared "6" — all signals of a management team that sees the business tracking ahead of its own conservative assumptions. Estimate revisions have been essentially flat since the Q1 print (EPS consensus moved from $0.801 to $0.806, revenue from $5.996B to $6.014B), suggesting the street has already absorbed the Q1 beat and conference commentary without chasing numbers higher — leaving a modest cushion rather than a stretched bar. The stock has been range-bound since the Q1 earnings pop (roughly flat vs. the S&amp;P 500's ~3% gain since April 30), implying the market has not yet priced in a second consecutive beat. The key wildcard is </w:t>
      </w:r>
      <w:r>
        <w:rPr>
          <w:rFonts w:ascii="Calibri" w:hAnsi="Calibri"/>
          <w:b/>
          <w:color w:val="525866"/>
          <w:sz w:val="22"/>
        </w:rPr>
        <w:t>data center shipment execution</w:t>
      </w:r>
      <w:r>
        <w:rPr>
          <w:rFonts w:ascii="Calibri" w:hAnsi="Calibri"/>
          <w:color w:val="525866"/>
          <w:sz w:val="22"/>
        </w:rPr>
        <w:t>: with ~$1B of the $1.5B full-year target implied in H2 and management describing output — not orders — as the binding constraint, any slip in factory throughput or logistics could pressure the Q2 print and raise questions about the full-year target, even as the demand picture has never been stronger.</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w:t>
      </w:r>
      <w:r>
        <w:rPr>
          <w:rFonts w:ascii="Calibri" w:hAnsi="Calibri"/>
          <w:b/>
          <w:color w:val="525866"/>
          <w:sz w:val="22"/>
        </w:rPr>
        <w:t>low-to-moderate bar</w:t>
      </w:r>
      <w:r>
        <w:rPr>
          <w:rFonts w:ascii="Calibri" w:hAnsi="Calibri"/>
          <w:color w:val="525866"/>
          <w:sz w:val="22"/>
        </w:rPr>
        <w:t xml:space="preserve"> heading into Q2 — management has pre-confirmed the quarter is on track at two conferences, and residential is tracking better than guided; </w:t>
      </w:r>
      <w:r>
        <w:rPr>
          <w:rFonts w:ascii="Calibri" w:hAnsi="Calibri"/>
          <w:b/>
          <w:color w:val="525866"/>
          <w:sz w:val="22"/>
        </w:rPr>
        <w:t>adjusted EPS ($0.806 consensus vs. $0.80 guided)</w:t>
      </w:r>
      <w:r>
        <w:rPr>
          <w:rFonts w:ascii="Calibri" w:hAnsi="Calibri"/>
          <w:color w:val="525866"/>
          <w:sz w:val="22"/>
        </w:rPr>
        <w:t xml:space="preserve"> is the bigger swing factor given its sensitivity to resi mix and data center shipment timing.</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Management Guidance (Q2)</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Revenue ($B)</w:t>
            </w:r>
          </w:p>
        </w:tc>
        <w:tc>
          <w:tcPr>
            <w:tcW w:type="dxa" w:w="1234"/>
          </w:tcPr>
          <w:p>
            <w:r>
              <w:rPr>
                <w:rFonts w:ascii="Calibri" w:hAnsi="Calibri"/>
                <w:sz w:val="22"/>
              </w:rPr>
              <w:t>$5.341B</w:t>
            </w:r>
          </w:p>
        </w:tc>
        <w:tc>
          <w:tcPr>
            <w:tcW w:type="dxa" w:w="1234"/>
          </w:tcPr>
          <w:p>
            <w:r>
              <w:rPr>
                <w:rFonts w:ascii="Calibri" w:hAnsi="Calibri"/>
                <w:sz w:val="22"/>
              </w:rPr>
              <w:t>$6.113B</w:t>
            </w:r>
          </w:p>
        </w:tc>
        <w:tc>
          <w:tcPr>
            <w:tcW w:type="dxa" w:w="1234"/>
          </w:tcPr>
          <w:p>
            <w:r>
              <w:rPr>
                <w:rFonts w:ascii="Calibri" w:hAnsi="Calibri"/>
                <w:sz w:val="22"/>
              </w:rPr>
              <w:t>$6.014B</w:t>
            </w:r>
          </w:p>
        </w:tc>
        <w:tc>
          <w:tcPr>
            <w:tcW w:type="dxa" w:w="1234"/>
          </w:tcPr>
          <w:p>
            <w:r>
              <w:rPr>
                <w:rFonts w:ascii="Calibri" w:hAnsi="Calibri"/>
                <w:sz w:val="22"/>
              </w:rPr>
              <w:t>-1.6% YoY</w:t>
            </w:r>
          </w:p>
        </w:tc>
        <w:tc>
          <w:tcPr>
            <w:tcW w:type="dxa" w:w="1234"/>
          </w:tcPr>
          <w:p>
            <w:r>
              <w:rPr>
                <w:rFonts w:ascii="Calibri" w:hAnsi="Calibri"/>
                <w:sz w:val="22"/>
              </w:rPr>
              <w:t>Just below $6.0B</w:t>
            </w:r>
          </w:p>
        </w:tc>
        <w:tc>
          <w:tcPr>
            <w:tcW w:type="dxa" w:w="1234"/>
          </w:tcPr>
          <w:p>
            <w:r>
              <w:rPr>
                <w:rFonts w:ascii="Calibri" w:hAnsi="Calibri"/>
                <w:sz w:val="22"/>
              </w:rPr>
              <w:t>+0.2% above midpoint</w:t>
            </w:r>
          </w:p>
        </w:tc>
      </w:tr>
      <w:tr>
        <w:tc>
          <w:tcPr>
            <w:tcW w:type="dxa" w:w="1234"/>
          </w:tcPr>
          <w:p>
            <w:r>
              <w:rPr>
                <w:rFonts w:ascii="Calibri" w:hAnsi="Calibri"/>
                <w:sz w:val="22"/>
              </w:rPr>
              <w:t>Adj. EPS (Diluted)</w:t>
            </w:r>
          </w:p>
        </w:tc>
        <w:tc>
          <w:tcPr>
            <w:tcW w:type="dxa" w:w="1234"/>
          </w:tcPr>
          <w:p>
            <w:r>
              <w:rPr>
                <w:rFonts w:ascii="Calibri" w:hAnsi="Calibri"/>
                <w:sz w:val="22"/>
              </w:rPr>
              <w:t>$0.57</w:t>
            </w:r>
          </w:p>
        </w:tc>
        <w:tc>
          <w:tcPr>
            <w:tcW w:type="dxa" w:w="1234"/>
          </w:tcPr>
          <w:p>
            <w:r>
              <w:rPr>
                <w:rFonts w:ascii="Calibri" w:hAnsi="Calibri"/>
                <w:sz w:val="22"/>
              </w:rPr>
              <w:t>$0.92</w:t>
            </w:r>
          </w:p>
        </w:tc>
        <w:tc>
          <w:tcPr>
            <w:tcW w:type="dxa" w:w="1234"/>
          </w:tcPr>
          <w:p>
            <w:r>
              <w:rPr>
                <w:rFonts w:ascii="Calibri" w:hAnsi="Calibri"/>
                <w:sz w:val="22"/>
              </w:rPr>
              <w:t>$0.806</w:t>
            </w:r>
          </w:p>
        </w:tc>
        <w:tc>
          <w:tcPr>
            <w:tcW w:type="dxa" w:w="1234"/>
          </w:tcPr>
          <w:p>
            <w:r>
              <w:rPr>
                <w:rFonts w:ascii="Calibri" w:hAnsi="Calibri"/>
                <w:sz w:val="22"/>
              </w:rPr>
              <w:t>-12.4% YoY</w:t>
            </w:r>
          </w:p>
        </w:tc>
        <w:tc>
          <w:tcPr>
            <w:tcW w:type="dxa" w:w="1234"/>
          </w:tcPr>
          <w:p>
            <w:r>
              <w:rPr>
                <w:rFonts w:ascii="Calibri" w:hAnsi="Calibri"/>
                <w:sz w:val="22"/>
              </w:rPr>
              <w:t>~$0.80</w:t>
            </w:r>
          </w:p>
        </w:tc>
        <w:tc>
          <w:tcPr>
            <w:tcW w:type="dxa" w:w="1234"/>
          </w:tcPr>
          <w:p>
            <w:r>
              <w:rPr>
                <w:rFonts w:ascii="Calibri" w:hAnsi="Calibri"/>
                <w:sz w:val="22"/>
              </w:rPr>
              <w:t>+0.8% above guidance</w:t>
            </w:r>
          </w:p>
        </w:tc>
      </w:tr>
      <w:tr>
        <w:tc>
          <w:tcPr>
            <w:tcW w:type="dxa" w:w="1234"/>
          </w:tcPr>
          <w:p>
            <w:r>
              <w:rPr>
                <w:rFonts w:ascii="Calibri" w:hAnsi="Calibri"/>
                <w:sz w:val="22"/>
              </w:rPr>
              <w:t>Adj. Operating Income ($B)</w:t>
            </w:r>
          </w:p>
        </w:tc>
        <w:tc>
          <w:tcPr>
            <w:tcW w:type="dxa" w:w="1234"/>
          </w:tcPr>
          <w:p>
            <w:r>
              <w:rPr>
                <w:rFonts w:ascii="Calibri" w:hAnsi="Calibri"/>
                <w:sz w:val="22"/>
              </w:rPr>
              <w:t>$0.594B</w:t>
            </w:r>
          </w:p>
        </w:tc>
        <w:tc>
          <w:tcPr>
            <w:tcW w:type="dxa" w:w="1234"/>
          </w:tcPr>
          <w:p>
            <w:r>
              <w:rPr>
                <w:rFonts w:ascii="Calibri" w:hAnsi="Calibri"/>
                <w:sz w:val="22"/>
              </w:rPr>
              <w:t>$1.166B</w:t>
            </w:r>
          </w:p>
        </w:tc>
        <w:tc>
          <w:tcPr>
            <w:tcW w:type="dxa" w:w="1234"/>
          </w:tcPr>
          <w:p>
            <w:r>
              <w:rPr>
                <w:rFonts w:ascii="Calibri" w:hAnsi="Calibri"/>
                <w:sz w:val="22"/>
              </w:rPr>
              <w:t>$1.040B</w:t>
            </w:r>
          </w:p>
        </w:tc>
        <w:tc>
          <w:tcPr>
            <w:tcW w:type="dxa" w:w="1234"/>
          </w:tcPr>
          <w:p>
            <w:r>
              <w:rPr>
                <w:rFonts w:ascii="Calibri" w:hAnsi="Calibri"/>
                <w:sz w:val="22"/>
              </w:rPr>
              <w:t>-10.8% YoY</w:t>
            </w:r>
          </w:p>
        </w:tc>
        <w:tc>
          <w:tcPr>
            <w:tcW w:type="dxa" w:w="1234"/>
          </w:tcPr>
          <w:p>
            <w:r>
              <w:rPr>
                <w:rFonts w:ascii="Calibri" w:hAnsi="Calibri"/>
                <w:sz w:val="22"/>
              </w:rPr>
              <w:t>~17% margin on ~$6B</w:t>
            </w:r>
          </w:p>
        </w:tc>
        <w:tc>
          <w:tcPr>
            <w:tcW w:type="dxa" w:w="1234"/>
          </w:tcPr>
          <w:p>
            <w:r>
              <w:rPr>
                <w:rFonts w:ascii="Calibri" w:hAnsi="Calibri"/>
                <w:sz w:val="22"/>
              </w:rPr>
              <w:t>~$1.020B implied; consensus ~+2% above</w:t>
            </w:r>
          </w:p>
        </w:tc>
      </w:tr>
      <w:tr>
        <w:tc>
          <w:tcPr>
            <w:tcW w:type="dxa" w:w="1234"/>
          </w:tcPr>
          <w:p>
            <w:r>
              <w:rPr>
                <w:rFonts w:ascii="Calibri" w:hAnsi="Calibri"/>
                <w:sz w:val="22"/>
              </w:rPr>
              <w:t>Adj. Operating Margin (%)</w:t>
            </w:r>
          </w:p>
        </w:tc>
        <w:tc>
          <w:tcPr>
            <w:tcW w:type="dxa" w:w="1234"/>
          </w:tcPr>
          <w:p>
            <w:r>
              <w:rPr>
                <w:rFonts w:ascii="Calibri" w:hAnsi="Calibri"/>
                <w:sz w:val="22"/>
              </w:rPr>
              <w:t>11.1%</w:t>
            </w:r>
          </w:p>
        </w:tc>
        <w:tc>
          <w:tcPr>
            <w:tcW w:type="dxa" w:w="1234"/>
          </w:tcPr>
          <w:p>
            <w:r>
              <w:rPr>
                <w:rFonts w:ascii="Calibri" w:hAnsi="Calibri"/>
                <w:sz w:val="22"/>
              </w:rPr>
              <w:t>19.1%</w:t>
            </w:r>
          </w:p>
        </w:tc>
        <w:tc>
          <w:tcPr>
            <w:tcW w:type="dxa" w:w="1234"/>
          </w:tcPr>
          <w:p>
            <w:r>
              <w:rPr>
                <w:rFonts w:ascii="Calibri" w:hAnsi="Calibri"/>
                <w:sz w:val="22"/>
              </w:rPr>
              <w:t>17.3%</w:t>
            </w:r>
          </w:p>
        </w:tc>
        <w:tc>
          <w:tcPr>
            <w:tcW w:type="dxa" w:w="1234"/>
          </w:tcPr>
          <w:p>
            <w:r>
              <w:rPr>
                <w:rFonts w:ascii="Calibri" w:hAnsi="Calibri"/>
                <w:sz w:val="22"/>
              </w:rPr>
              <w:t>-180 bps YoY</w:t>
            </w:r>
          </w:p>
        </w:tc>
        <w:tc>
          <w:tcPr>
            <w:tcW w:type="dxa" w:w="1234"/>
          </w:tcPr>
          <w:p>
            <w:r>
              <w:rPr>
                <w:rFonts w:ascii="Calibri" w:hAnsi="Calibri"/>
                <w:sz w:val="22"/>
              </w:rPr>
              <w:t>~17%</w:t>
            </w:r>
          </w:p>
        </w:tc>
        <w:tc>
          <w:tcPr>
            <w:tcW w:type="dxa" w:w="1234"/>
          </w:tcPr>
          <w:p>
            <w:r>
              <w:rPr>
                <w:rFonts w:ascii="Calibri" w:hAnsi="Calibri"/>
                <w:sz w:val="22"/>
              </w:rPr>
              <w:t>+30 bps above guidance</w:t>
            </w:r>
          </w:p>
        </w:tc>
      </w:tr>
      <w:tr>
        <w:tc>
          <w:tcPr>
            <w:tcW w:type="dxa" w:w="1234"/>
          </w:tcPr>
          <w:p>
            <w:r>
              <w:rPr>
                <w:rFonts w:ascii="Calibri" w:hAnsi="Calibri"/>
                <w:sz w:val="22"/>
              </w:rPr>
              <w:t>Revenue — CSA Americas ($B)</w:t>
            </w:r>
          </w:p>
        </w:tc>
        <w:tc>
          <w:tcPr>
            <w:tcW w:type="dxa" w:w="1234"/>
          </w:tcPr>
          <w:p>
            <w:r>
              <w:rPr>
                <w:rFonts w:ascii="Calibri" w:hAnsi="Calibri"/>
                <w:sz w:val="22"/>
              </w:rPr>
              <w:t>$2.501B</w:t>
            </w:r>
          </w:p>
        </w:tc>
        <w:tc>
          <w:tcPr>
            <w:tcW w:type="dxa" w:w="1234"/>
          </w:tcPr>
          <w:p>
            <w:r>
              <w:rPr>
                <w:rFonts w:ascii="Calibri" w:hAnsi="Calibri"/>
                <w:sz w:val="22"/>
              </w:rPr>
              <w:t>$3.252B</w:t>
            </w:r>
          </w:p>
        </w:tc>
        <w:tc>
          <w:tcPr>
            <w:tcW w:type="dxa" w:w="1234"/>
          </w:tcPr>
          <w:p>
            <w:r>
              <w:rPr>
                <w:rFonts w:ascii="Calibri" w:hAnsi="Calibri"/>
                <w:sz w:val="22"/>
              </w:rPr>
              <w:t>$3.114B</w:t>
            </w:r>
          </w:p>
        </w:tc>
        <w:tc>
          <w:tcPr>
            <w:tcW w:type="dxa" w:w="1234"/>
          </w:tcPr>
          <w:p>
            <w:r>
              <w:rPr>
                <w:rFonts w:ascii="Calibri" w:hAnsi="Calibri"/>
                <w:sz w:val="22"/>
              </w:rPr>
              <w:t>-4.2% YoY</w:t>
            </w:r>
          </w:p>
        </w:tc>
        <w:tc>
          <w:tcPr>
            <w:tcW w:type="dxa" w:w="1234"/>
          </w:tcPr>
          <w:p>
            <w:r>
              <w:rPr>
                <w:rFonts w:ascii="Calibri" w:hAnsi="Calibri"/>
                <w:sz w:val="22"/>
              </w:rPr>
              <w:t>Mid-single digits down organic</w:t>
            </w:r>
          </w:p>
        </w:tc>
        <w:tc>
          <w:tcPr>
            <w:tcW w:type="dxa" w:w="1234"/>
          </w:tcPr>
          <w:p>
            <w:r>
              <w:rPr>
                <w:rFonts w:ascii="Calibri" w:hAnsi="Calibri"/>
                <w:sz w:val="22"/>
              </w:rPr>
              <w:t>Tracking guidance</w:t>
            </w:r>
          </w:p>
        </w:tc>
      </w:tr>
      <w:tr>
        <w:tc>
          <w:tcPr>
            <w:tcW w:type="dxa" w:w="1234"/>
          </w:tcPr>
          <w:p>
            <w:r>
              <w:rPr>
                <w:rFonts w:ascii="Calibri" w:hAnsi="Calibri"/>
                <w:sz w:val="22"/>
              </w:rPr>
              <w:t>Revenue — CSE Europe ($B)</w:t>
            </w:r>
          </w:p>
        </w:tc>
        <w:tc>
          <w:tcPr>
            <w:tcW w:type="dxa" w:w="1234"/>
          </w:tcPr>
          <w:p>
            <w:r>
              <w:rPr>
                <w:rFonts w:ascii="Calibri" w:hAnsi="Calibri"/>
                <w:sz w:val="22"/>
              </w:rPr>
              <w:t>$1.293B</w:t>
            </w:r>
          </w:p>
        </w:tc>
        <w:tc>
          <w:tcPr>
            <w:tcW w:type="dxa" w:w="1234"/>
          </w:tcPr>
          <w:p>
            <w:r>
              <w:rPr>
                <w:rFonts w:ascii="Calibri" w:hAnsi="Calibri"/>
                <w:sz w:val="22"/>
              </w:rPr>
              <w:t>$1.253B</w:t>
            </w:r>
          </w:p>
        </w:tc>
        <w:tc>
          <w:tcPr>
            <w:tcW w:type="dxa" w:w="1234"/>
          </w:tcPr>
          <w:p>
            <w:r>
              <w:rPr>
                <w:rFonts w:ascii="Calibri" w:hAnsi="Calibri"/>
                <w:sz w:val="22"/>
              </w:rPr>
              <w:t>$1.294B</w:t>
            </w:r>
          </w:p>
        </w:tc>
        <w:tc>
          <w:tcPr>
            <w:tcW w:type="dxa" w:w="1234"/>
          </w:tcPr>
          <w:p>
            <w:r>
              <w:rPr>
                <w:rFonts w:ascii="Calibri" w:hAnsi="Calibri"/>
                <w:sz w:val="22"/>
              </w:rPr>
              <w:t>+3.3% YoY</w:t>
            </w:r>
          </w:p>
        </w:tc>
        <w:tc>
          <w:tcPr>
            <w:tcW w:type="dxa" w:w="1234"/>
          </w:tcPr>
          <w:p>
            <w:r>
              <w:rPr>
                <w:rFonts w:ascii="Calibri" w:hAnsi="Calibri"/>
                <w:sz w:val="22"/>
              </w:rPr>
              <w:t>Low single digits positive organic</w:t>
            </w:r>
          </w:p>
        </w:tc>
        <w:tc>
          <w:tcPr>
            <w:tcW w:type="dxa" w:w="1234"/>
          </w:tcPr>
          <w:p>
            <w:r>
              <w:rPr>
                <w:rFonts w:ascii="Calibri" w:hAnsi="Calibri"/>
                <w:sz w:val="22"/>
              </w:rPr>
              <w:t>Tracking guidance</w:t>
            </w:r>
          </w:p>
        </w:tc>
      </w:tr>
      <w:tr>
        <w:tc>
          <w:tcPr>
            <w:tcW w:type="dxa" w:w="1234"/>
          </w:tcPr>
          <w:p>
            <w:r>
              <w:rPr>
                <w:rFonts w:ascii="Calibri" w:hAnsi="Calibri"/>
                <w:sz w:val="22"/>
              </w:rPr>
              <w:t>Revenue — CSAME Asia/ME ($B)</w:t>
            </w:r>
          </w:p>
        </w:tc>
        <w:tc>
          <w:tcPr>
            <w:tcW w:type="dxa" w:w="1234"/>
          </w:tcPr>
          <w:p>
            <w:r>
              <w:rPr>
                <w:rFonts w:ascii="Calibri" w:hAnsi="Calibri"/>
                <w:sz w:val="22"/>
              </w:rPr>
              <w:t>$0.834B</w:t>
            </w:r>
          </w:p>
        </w:tc>
        <w:tc>
          <w:tcPr>
            <w:tcW w:type="dxa" w:w="1234"/>
          </w:tcPr>
          <w:p>
            <w:r>
              <w:rPr>
                <w:rFonts w:ascii="Calibri" w:hAnsi="Calibri"/>
                <w:sz w:val="22"/>
              </w:rPr>
              <w:t>$0.882B</w:t>
            </w:r>
          </w:p>
        </w:tc>
        <w:tc>
          <w:tcPr>
            <w:tcW w:type="dxa" w:w="1234"/>
          </w:tcPr>
          <w:p>
            <w:r>
              <w:rPr>
                <w:rFonts w:ascii="Calibri" w:hAnsi="Calibri"/>
                <w:sz w:val="22"/>
              </w:rPr>
              <w:t>$0.873B</w:t>
            </w:r>
          </w:p>
        </w:tc>
        <w:tc>
          <w:tcPr>
            <w:tcW w:type="dxa" w:w="1234"/>
          </w:tcPr>
          <w:p>
            <w:r>
              <w:rPr>
                <w:rFonts w:ascii="Calibri" w:hAnsi="Calibri"/>
                <w:sz w:val="22"/>
              </w:rPr>
              <w:t>-1.0% YoY</w:t>
            </w:r>
          </w:p>
        </w:tc>
        <w:tc>
          <w:tcPr>
            <w:tcW w:type="dxa" w:w="1234"/>
          </w:tcPr>
          <w:p>
            <w:r>
              <w:rPr>
                <w:rFonts w:ascii="Calibri" w:hAnsi="Calibri"/>
                <w:sz w:val="22"/>
              </w:rPr>
              <w:t>Down low single digits organic</w:t>
            </w:r>
          </w:p>
        </w:tc>
        <w:tc>
          <w:tcPr>
            <w:tcW w:type="dxa" w:w="1234"/>
          </w:tcPr>
          <w:p>
            <w:r>
              <w:rPr>
                <w:rFonts w:ascii="Calibri" w:hAnsi="Calibri"/>
                <w:sz w:val="22"/>
              </w:rPr>
              <w:t>Tracking guidance</w:t>
            </w:r>
          </w:p>
        </w:tc>
      </w:tr>
      <w:tr>
        <w:tc>
          <w:tcPr>
            <w:tcW w:type="dxa" w:w="1234"/>
          </w:tcPr>
          <w:p>
            <w:r>
              <w:rPr>
                <w:rFonts w:ascii="Calibri" w:hAnsi="Calibri"/>
                <w:sz w:val="22"/>
              </w:rPr>
              <w:t>Revenue — CST Transport ($B)</w:t>
            </w:r>
          </w:p>
        </w:tc>
        <w:tc>
          <w:tcPr>
            <w:tcW w:type="dxa" w:w="1234"/>
          </w:tcPr>
          <w:p>
            <w:r>
              <w:rPr>
                <w:rFonts w:ascii="Calibri" w:hAnsi="Calibri"/>
                <w:sz w:val="22"/>
              </w:rPr>
              <w:t>$0.713B</w:t>
            </w:r>
          </w:p>
        </w:tc>
        <w:tc>
          <w:tcPr>
            <w:tcW w:type="dxa" w:w="1234"/>
          </w:tcPr>
          <w:p>
            <w:r>
              <w:rPr>
                <w:rFonts w:ascii="Calibri" w:hAnsi="Calibri"/>
                <w:sz w:val="22"/>
              </w:rPr>
              <w:t>$0.726B</w:t>
            </w:r>
          </w:p>
        </w:tc>
        <w:tc>
          <w:tcPr>
            <w:tcW w:type="dxa" w:w="1234"/>
          </w:tcPr>
          <w:p>
            <w:r>
              <w:rPr>
                <w:rFonts w:ascii="Calibri" w:hAnsi="Calibri"/>
                <w:sz w:val="22"/>
              </w:rPr>
              <w:t>$0.727B</w:t>
            </w:r>
          </w:p>
        </w:tc>
        <w:tc>
          <w:tcPr>
            <w:tcW w:type="dxa" w:w="1234"/>
          </w:tcPr>
          <w:p>
            <w:r>
              <w:rPr>
                <w:rFonts w:ascii="Calibri" w:hAnsi="Calibri"/>
                <w:sz w:val="22"/>
              </w:rPr>
              <w:t>+0.1% YoY</w:t>
            </w:r>
          </w:p>
        </w:tc>
        <w:tc>
          <w:tcPr>
            <w:tcW w:type="dxa" w:w="1234"/>
          </w:tcPr>
          <w:p>
            <w:r>
              <w:rPr>
                <w:rFonts w:ascii="Calibri" w:hAnsi="Calibri"/>
                <w:sz w:val="22"/>
              </w:rPr>
              <w:t>Down low single digits organic</w:t>
            </w:r>
          </w:p>
        </w:tc>
        <w:tc>
          <w:tcPr>
            <w:tcW w:type="dxa" w:w="1234"/>
          </w:tcPr>
          <w:p>
            <w:r>
              <w:rPr>
                <w:rFonts w:ascii="Calibri" w:hAnsi="Calibri"/>
                <w:sz w:val="22"/>
              </w:rPr>
              <w:t>Slightly above guidance</w:t>
            </w:r>
          </w:p>
        </w:tc>
      </w:tr>
      <w:tr>
        <w:tc>
          <w:tcPr>
            <w:tcW w:type="dxa" w:w="1234"/>
          </w:tcPr>
          <w:p>
            <w:r>
              <w:rPr>
                <w:rFonts w:ascii="Calibri" w:hAnsi="Calibri"/>
                <w:sz w:val="22"/>
              </w:rPr>
              <w:t>Free Cash Flow ($B)</w:t>
            </w:r>
          </w:p>
        </w:tc>
        <w:tc>
          <w:tcPr>
            <w:tcW w:type="dxa" w:w="1234"/>
          </w:tcPr>
          <w:p>
            <w:r>
              <w:rPr>
                <w:rFonts w:ascii="Calibri" w:hAnsi="Calibri"/>
                <w:sz w:val="22"/>
              </w:rPr>
              <w:t>-$0.015B</w:t>
            </w:r>
          </w:p>
        </w:tc>
        <w:tc>
          <w:tcPr>
            <w:tcW w:type="dxa" w:w="1234"/>
          </w:tcPr>
          <w:p>
            <w:r>
              <w:rPr>
                <w:rFonts w:ascii="Calibri" w:hAnsi="Calibri"/>
                <w:sz w:val="22"/>
              </w:rPr>
              <w:t>$0.568B</w:t>
            </w:r>
          </w:p>
        </w:tc>
        <w:tc>
          <w:tcPr>
            <w:tcW w:type="dxa" w:w="1234"/>
          </w:tcPr>
          <w:p>
            <w:r>
              <w:rPr>
                <w:rFonts w:ascii="Calibri" w:hAnsi="Calibri"/>
                <w:sz w:val="22"/>
              </w:rPr>
              <w:t>$0.391B</w:t>
            </w:r>
          </w:p>
        </w:tc>
        <w:tc>
          <w:tcPr>
            <w:tcW w:type="dxa" w:w="1234"/>
          </w:tcPr>
          <w:p>
            <w:r>
              <w:rPr>
                <w:rFonts w:ascii="Calibri" w:hAnsi="Calibri"/>
                <w:sz w:val="22"/>
              </w:rPr>
              <w:t>N/A (seasonal)</w:t>
            </w:r>
          </w:p>
        </w:tc>
        <w:tc>
          <w:tcPr>
            <w:tcW w:type="dxa" w:w="1234"/>
          </w:tcPr>
          <w:p>
            <w:r>
              <w:rPr>
                <w:rFonts w:ascii="Calibri" w:hAnsi="Calibri"/>
                <w:sz w:val="22"/>
              </w:rPr>
              <w:t>Few hundred million (normal seasonality)</w:t>
            </w:r>
          </w:p>
        </w:tc>
        <w:tc>
          <w:tcPr>
            <w:tcW w:type="dxa" w:w="1234"/>
          </w:tcPr>
          <w:p>
            <w:r>
              <w:rPr>
                <w:rFonts w:ascii="Calibri" w:hAnsi="Calibri"/>
                <w:sz w:val="22"/>
              </w:rPr>
              <w:t>Tracking guidance</w:t>
            </w:r>
          </w:p>
        </w:tc>
      </w:tr>
    </w:tbl>
    <w:p>
      <w:r>
        <w:rPr>
          <w:rFonts w:ascii="Calibri" w:hAnsi="Calibri"/>
          <w:i/>
          <w:color w:val="525866"/>
          <w:sz w:val="22"/>
        </w:rPr>
        <w:t>Source: Visible Alpha Consensus and Actuals Data; CARR Q1 2026 Earnings Call (April 30, 2026); Wells Fargo Industrials Conference (June 9, 2026). All consensus figures as of July 27, 2026.</w:t>
      </w:r>
    </w:p>
    <w:p>
      <w:pPr>
        <w:pStyle w:val="Heading3"/>
      </w:pPr>
      <w:r>
        <w:rPr>
          <w:rFonts w:ascii="Calibri" w:hAnsi="Calibri"/>
          <w:b/>
          <w:color w:val="3B4259"/>
          <w:sz w:val="24"/>
        </w:rPr>
        <w:t>Table 2 — Beat/Miss History (Last 8 Quarters, Top 2 KPIs)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Revenue</w:t>
            </w:r>
          </w:p>
        </w:tc>
        <w:tc>
          <w:tcPr>
            <w:tcW w:type="dxa" w:w="1440"/>
          </w:tcPr>
          <w:p>
            <w:r>
              <w:rPr>
                <w:rFonts w:ascii="Calibri" w:hAnsi="Calibri"/>
                <w:sz w:val="22"/>
              </w:rPr>
              <w:t>$5.341B</w:t>
            </w:r>
          </w:p>
        </w:tc>
        <w:tc>
          <w:tcPr>
            <w:tcW w:type="dxa" w:w="1440"/>
          </w:tcPr>
          <w:p>
            <w:r>
              <w:rPr>
                <w:rFonts w:ascii="Calibri" w:hAnsi="Calibri"/>
                <w:sz w:val="22"/>
              </w:rPr>
              <w:t>$5.000B</w:t>
            </w:r>
          </w:p>
        </w:tc>
        <w:tc>
          <w:tcPr>
            <w:tcW w:type="dxa" w:w="1440"/>
          </w:tcPr>
          <w:p>
            <w:r>
              <w:rPr>
                <w:rFonts w:ascii="Calibri" w:hAnsi="Calibri"/>
                <w:b/>
                <w:color w:val="30A46C"/>
                <w:sz w:val="22"/>
              </w:rPr>
              <w:t>+6.8%</w:t>
            </w:r>
          </w:p>
        </w:tc>
        <w:tc>
          <w:tcPr>
            <w:tcW w:type="dxa" w:w="1440"/>
          </w:tcPr>
          <w:p>
            <w:r>
              <w:rPr>
                <w:rFonts w:ascii="Calibri" w:hAnsi="Calibri"/>
                <w:b/>
                <w:color w:val="30A46C"/>
                <w:sz w:val="22"/>
              </w:rPr>
              <w:t>Beat</w:t>
            </w:r>
          </w:p>
        </w:tc>
      </w:tr>
      <w:tr>
        <w:tc>
          <w:tcPr>
            <w:tcW w:type="dxa" w:w="1440"/>
          </w:tcPr>
          <w:p>
            <w:r>
              <w:rPr>
                <w:rFonts w:ascii="Calibri" w:hAnsi="Calibri"/>
                <w:sz w:val="22"/>
              </w:rPr>
              <w:t>Q1 2026</w:t>
            </w:r>
          </w:p>
        </w:tc>
        <w:tc>
          <w:tcPr>
            <w:tcW w:type="dxa" w:w="1440"/>
          </w:tcPr>
          <w:p>
            <w:r>
              <w:rPr>
                <w:rFonts w:ascii="Calibri" w:hAnsi="Calibri"/>
                <w:sz w:val="22"/>
              </w:rPr>
              <w:t>Adj. EPS</w:t>
            </w:r>
          </w:p>
        </w:tc>
        <w:tc>
          <w:tcPr>
            <w:tcW w:type="dxa" w:w="1440"/>
          </w:tcPr>
          <w:p>
            <w:r>
              <w:rPr>
                <w:rFonts w:ascii="Calibri" w:hAnsi="Calibri"/>
                <w:sz w:val="22"/>
              </w:rPr>
              <w:t>$0.57</w:t>
            </w:r>
          </w:p>
        </w:tc>
        <w:tc>
          <w:tcPr>
            <w:tcW w:type="dxa" w:w="1440"/>
          </w:tcPr>
          <w:p>
            <w:r>
              <w:rPr>
                <w:rFonts w:ascii="Calibri" w:hAnsi="Calibri"/>
                <w:sz w:val="22"/>
              </w:rPr>
              <w:t>$0.508</w:t>
            </w:r>
          </w:p>
        </w:tc>
        <w:tc>
          <w:tcPr>
            <w:tcW w:type="dxa" w:w="1440"/>
          </w:tcPr>
          <w:p>
            <w:r>
              <w:rPr>
                <w:rFonts w:ascii="Calibri" w:hAnsi="Calibri"/>
                <w:b/>
                <w:color w:val="30A46C"/>
                <w:sz w:val="22"/>
              </w:rPr>
              <w:t>+12.2%</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Revenue</w:t>
            </w:r>
          </w:p>
        </w:tc>
        <w:tc>
          <w:tcPr>
            <w:tcW w:type="dxa" w:w="1440"/>
          </w:tcPr>
          <w:p>
            <w:r>
              <w:rPr>
                <w:rFonts w:ascii="Calibri" w:hAnsi="Calibri"/>
                <w:sz w:val="22"/>
              </w:rPr>
              <w:t>$4.837B</w:t>
            </w:r>
          </w:p>
        </w:tc>
        <w:tc>
          <w:tcPr>
            <w:tcW w:type="dxa" w:w="1440"/>
          </w:tcPr>
          <w:p>
            <w:r>
              <w:rPr>
                <w:rFonts w:ascii="Calibri" w:hAnsi="Calibri"/>
                <w:sz w:val="22"/>
              </w:rPr>
              <w:t>$4.988B</w:t>
            </w:r>
          </w:p>
        </w:tc>
        <w:tc>
          <w:tcPr>
            <w:tcW w:type="dxa" w:w="1440"/>
          </w:tcPr>
          <w:p>
            <w:r>
              <w:rPr>
                <w:rFonts w:ascii="Calibri" w:hAnsi="Calibri"/>
                <w:b/>
                <w:color w:val="E5484D"/>
                <w:sz w:val="22"/>
              </w:rPr>
              <w:t>-3.0%</w:t>
            </w:r>
          </w:p>
        </w:tc>
        <w:tc>
          <w:tcPr>
            <w:tcW w:type="dxa" w:w="1440"/>
          </w:tcPr>
          <w:p>
            <w:r>
              <w:rPr>
                <w:rFonts w:ascii="Calibri" w:hAnsi="Calibri"/>
                <w:b/>
                <w:color w:val="E5484D"/>
                <w:sz w:val="22"/>
              </w:rPr>
              <w:t>Miss</w:t>
            </w:r>
          </w:p>
        </w:tc>
      </w:tr>
      <w:tr>
        <w:tc>
          <w:tcPr>
            <w:tcW w:type="dxa" w:w="1440"/>
          </w:tcPr>
          <w:p>
            <w:r>
              <w:rPr>
                <w:rFonts w:ascii="Calibri" w:hAnsi="Calibri"/>
                <w:sz w:val="22"/>
              </w:rPr>
              <w:t>Q4 2025</w:t>
            </w:r>
          </w:p>
        </w:tc>
        <w:tc>
          <w:tcPr>
            <w:tcW w:type="dxa" w:w="1440"/>
          </w:tcPr>
          <w:p>
            <w:r>
              <w:rPr>
                <w:rFonts w:ascii="Calibri" w:hAnsi="Calibri"/>
                <w:sz w:val="22"/>
              </w:rPr>
              <w:t>Adj. EPS</w:t>
            </w:r>
          </w:p>
        </w:tc>
        <w:tc>
          <w:tcPr>
            <w:tcW w:type="dxa" w:w="1440"/>
          </w:tcPr>
          <w:p>
            <w:r>
              <w:rPr>
                <w:rFonts w:ascii="Calibri" w:hAnsi="Calibri"/>
                <w:sz w:val="22"/>
              </w:rPr>
              <w:t>$0.34</w:t>
            </w:r>
          </w:p>
        </w:tc>
        <w:tc>
          <w:tcPr>
            <w:tcW w:type="dxa" w:w="1440"/>
          </w:tcPr>
          <w:p>
            <w:r>
              <w:rPr>
                <w:rFonts w:ascii="Calibri" w:hAnsi="Calibri"/>
                <w:sz w:val="22"/>
              </w:rPr>
              <w:t>$0.365</w:t>
            </w:r>
          </w:p>
        </w:tc>
        <w:tc>
          <w:tcPr>
            <w:tcW w:type="dxa" w:w="1440"/>
          </w:tcPr>
          <w:p>
            <w:r>
              <w:rPr>
                <w:rFonts w:ascii="Calibri" w:hAnsi="Calibri"/>
                <w:b/>
                <w:color w:val="E5484D"/>
                <w:sz w:val="22"/>
              </w:rPr>
              <w:t>-6.8%</w:t>
            </w:r>
          </w:p>
        </w:tc>
        <w:tc>
          <w:tcPr>
            <w:tcW w:type="dxa" w:w="1440"/>
          </w:tcPr>
          <w:p>
            <w:r>
              <w:rPr>
                <w:rFonts w:ascii="Calibri" w:hAnsi="Calibri"/>
                <w:b/>
                <w:color w:val="E5484D"/>
                <w:sz w:val="22"/>
              </w:rPr>
              <w:t>Miss</w:t>
            </w:r>
          </w:p>
        </w:tc>
      </w:tr>
      <w:tr>
        <w:tc>
          <w:tcPr>
            <w:tcW w:type="dxa" w:w="1440"/>
          </w:tcPr>
          <w:p>
            <w:r>
              <w:rPr>
                <w:rFonts w:ascii="Calibri" w:hAnsi="Calibri"/>
                <w:sz w:val="22"/>
              </w:rPr>
              <w:t>Q3 2025</w:t>
            </w:r>
          </w:p>
        </w:tc>
        <w:tc>
          <w:tcPr>
            <w:tcW w:type="dxa" w:w="1440"/>
          </w:tcPr>
          <w:p>
            <w:r>
              <w:rPr>
                <w:rFonts w:ascii="Calibri" w:hAnsi="Calibri"/>
                <w:sz w:val="22"/>
              </w:rPr>
              <w:t>Revenue</w:t>
            </w:r>
          </w:p>
        </w:tc>
        <w:tc>
          <w:tcPr>
            <w:tcW w:type="dxa" w:w="1440"/>
          </w:tcPr>
          <w:p>
            <w:r>
              <w:rPr>
                <w:rFonts w:ascii="Calibri" w:hAnsi="Calibri"/>
                <w:sz w:val="22"/>
              </w:rPr>
              <w:t>$5.579B</w:t>
            </w:r>
          </w:p>
        </w:tc>
        <w:tc>
          <w:tcPr>
            <w:tcW w:type="dxa" w:w="1440"/>
          </w:tcPr>
          <w:p>
            <w:r>
              <w:rPr>
                <w:rFonts w:ascii="Calibri" w:hAnsi="Calibri"/>
                <w:sz w:val="22"/>
              </w:rPr>
              <w:t>$5.558B</w:t>
            </w:r>
          </w:p>
        </w:tc>
        <w:tc>
          <w:tcPr>
            <w:tcW w:type="dxa" w:w="1440"/>
          </w:tcPr>
          <w:p>
            <w:r>
              <w:rPr>
                <w:rFonts w:ascii="Calibri" w:hAnsi="Calibri"/>
                <w:b/>
                <w:color w:val="30A46C"/>
                <w:sz w:val="22"/>
              </w:rPr>
              <w:t>+0.4%</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Adj. EPS</w:t>
            </w:r>
          </w:p>
        </w:tc>
        <w:tc>
          <w:tcPr>
            <w:tcW w:type="dxa" w:w="1440"/>
          </w:tcPr>
          <w:p>
            <w:r>
              <w:rPr>
                <w:rFonts w:ascii="Calibri" w:hAnsi="Calibri"/>
                <w:sz w:val="22"/>
              </w:rPr>
              <w:t>$0.67</w:t>
            </w:r>
          </w:p>
        </w:tc>
        <w:tc>
          <w:tcPr>
            <w:tcW w:type="dxa" w:w="1440"/>
          </w:tcPr>
          <w:p>
            <w:r>
              <w:rPr>
                <w:rFonts w:ascii="Calibri" w:hAnsi="Calibri"/>
                <w:sz w:val="22"/>
              </w:rPr>
              <w:t>$0.573</w:t>
            </w:r>
          </w:p>
        </w:tc>
        <w:tc>
          <w:tcPr>
            <w:tcW w:type="dxa" w:w="1440"/>
          </w:tcPr>
          <w:p>
            <w:r>
              <w:rPr>
                <w:rFonts w:ascii="Calibri" w:hAnsi="Calibri"/>
                <w:b/>
                <w:color w:val="30A46C"/>
                <w:sz w:val="22"/>
              </w:rPr>
              <w:t>+16.9%</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Revenue</w:t>
            </w:r>
          </w:p>
        </w:tc>
        <w:tc>
          <w:tcPr>
            <w:tcW w:type="dxa" w:w="1440"/>
          </w:tcPr>
          <w:p>
            <w:r>
              <w:rPr>
                <w:rFonts w:ascii="Calibri" w:hAnsi="Calibri"/>
                <w:sz w:val="22"/>
              </w:rPr>
              <w:t>$6.113B</w:t>
            </w:r>
          </w:p>
        </w:tc>
        <w:tc>
          <w:tcPr>
            <w:tcW w:type="dxa" w:w="1440"/>
          </w:tcPr>
          <w:p>
            <w:r>
              <w:rPr>
                <w:rFonts w:ascii="Calibri" w:hAnsi="Calibri"/>
                <w:sz w:val="22"/>
              </w:rPr>
              <w:t>$6.100B</w:t>
            </w:r>
          </w:p>
        </w:tc>
        <w:tc>
          <w:tcPr>
            <w:tcW w:type="dxa" w:w="1440"/>
          </w:tcPr>
          <w:p>
            <w:r>
              <w:rPr>
                <w:rFonts w:ascii="Calibri" w:hAnsi="Calibri"/>
                <w:b/>
                <w:color w:val="30A46C"/>
                <w:sz w:val="22"/>
              </w:rPr>
              <w:t>+0.2%</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Adj. EPS</w:t>
            </w:r>
          </w:p>
        </w:tc>
        <w:tc>
          <w:tcPr>
            <w:tcW w:type="dxa" w:w="1440"/>
          </w:tcPr>
          <w:p>
            <w:r>
              <w:rPr>
                <w:rFonts w:ascii="Calibri" w:hAnsi="Calibri"/>
                <w:sz w:val="22"/>
              </w:rPr>
              <w:t>$0.92</w:t>
            </w:r>
          </w:p>
        </w:tc>
        <w:tc>
          <w:tcPr>
            <w:tcW w:type="dxa" w:w="1440"/>
          </w:tcPr>
          <w:p>
            <w:r>
              <w:rPr>
                <w:rFonts w:ascii="Calibri" w:hAnsi="Calibri"/>
                <w:sz w:val="22"/>
              </w:rPr>
              <w:t>$0.906</w:t>
            </w:r>
          </w:p>
        </w:tc>
        <w:tc>
          <w:tcPr>
            <w:tcW w:type="dxa" w:w="1440"/>
          </w:tcPr>
          <w:p>
            <w:r>
              <w:rPr>
                <w:rFonts w:ascii="Calibri" w:hAnsi="Calibri"/>
                <w:b/>
                <w:color w:val="30A46C"/>
                <w:sz w:val="22"/>
              </w:rPr>
              <w:t>+1.5%</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Revenue</w:t>
            </w:r>
          </w:p>
        </w:tc>
        <w:tc>
          <w:tcPr>
            <w:tcW w:type="dxa" w:w="1440"/>
          </w:tcPr>
          <w:p>
            <w:r>
              <w:rPr>
                <w:rFonts w:ascii="Calibri" w:hAnsi="Calibri"/>
                <w:sz w:val="22"/>
              </w:rPr>
              <w:t>$5.218B</w:t>
            </w:r>
          </w:p>
        </w:tc>
        <w:tc>
          <w:tcPr>
            <w:tcW w:type="dxa" w:w="1440"/>
          </w:tcPr>
          <w:p>
            <w:r>
              <w:rPr>
                <w:rFonts w:ascii="Calibri" w:hAnsi="Calibri"/>
                <w:sz w:val="22"/>
              </w:rPr>
              <w:t>$5.202B</w:t>
            </w:r>
          </w:p>
        </w:tc>
        <w:tc>
          <w:tcPr>
            <w:tcW w:type="dxa" w:w="1440"/>
          </w:tcPr>
          <w:p>
            <w:r>
              <w:rPr>
                <w:rFonts w:ascii="Calibri" w:hAnsi="Calibri"/>
                <w:b/>
                <w:color w:val="30A46C"/>
                <w:sz w:val="22"/>
              </w:rPr>
              <w:t>+0.3%</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Adj. EPS</w:t>
            </w:r>
          </w:p>
        </w:tc>
        <w:tc>
          <w:tcPr>
            <w:tcW w:type="dxa" w:w="1440"/>
          </w:tcPr>
          <w:p>
            <w:r>
              <w:rPr>
                <w:rFonts w:ascii="Calibri" w:hAnsi="Calibri"/>
                <w:sz w:val="22"/>
              </w:rPr>
              <w:t>$0.65</w:t>
            </w:r>
          </w:p>
        </w:tc>
        <w:tc>
          <w:tcPr>
            <w:tcW w:type="dxa" w:w="1440"/>
          </w:tcPr>
          <w:p>
            <w:r>
              <w:rPr>
                <w:rFonts w:ascii="Calibri" w:hAnsi="Calibri"/>
                <w:sz w:val="22"/>
              </w:rPr>
              <w:t>$0.584</w:t>
            </w:r>
          </w:p>
        </w:tc>
        <w:tc>
          <w:tcPr>
            <w:tcW w:type="dxa" w:w="1440"/>
          </w:tcPr>
          <w:p>
            <w:r>
              <w:rPr>
                <w:rFonts w:ascii="Calibri" w:hAnsi="Calibri"/>
                <w:b/>
                <w:color w:val="30A46C"/>
                <w:sz w:val="22"/>
              </w:rPr>
              <w:t>+11.3%</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Revenue</w:t>
            </w:r>
          </w:p>
        </w:tc>
        <w:tc>
          <w:tcPr>
            <w:tcW w:type="dxa" w:w="1440"/>
          </w:tcPr>
          <w:p>
            <w:r>
              <w:rPr>
                <w:rFonts w:ascii="Calibri" w:hAnsi="Calibri"/>
                <w:sz w:val="22"/>
              </w:rPr>
              <w:t>$5.148B</w:t>
            </w:r>
          </w:p>
        </w:tc>
        <w:tc>
          <w:tcPr>
            <w:tcW w:type="dxa" w:w="1440"/>
          </w:tcPr>
          <w:p>
            <w:r>
              <w:rPr>
                <w:rFonts w:ascii="Calibri" w:hAnsi="Calibri"/>
                <w:sz w:val="22"/>
              </w:rPr>
              <w:t>$5.262B</w:t>
            </w:r>
          </w:p>
        </w:tc>
        <w:tc>
          <w:tcPr>
            <w:tcW w:type="dxa" w:w="1440"/>
          </w:tcPr>
          <w:p>
            <w:r>
              <w:rPr>
                <w:rFonts w:ascii="Calibri" w:hAnsi="Calibri"/>
                <w:b/>
                <w:color w:val="E5484D"/>
                <w:sz w:val="22"/>
              </w:rPr>
              <w:t>-2.2%</w:t>
            </w:r>
          </w:p>
        </w:tc>
        <w:tc>
          <w:tcPr>
            <w:tcW w:type="dxa" w:w="1440"/>
          </w:tcPr>
          <w:p>
            <w:r>
              <w:rPr>
                <w:rFonts w:ascii="Calibri" w:hAnsi="Calibri"/>
                <w:b/>
                <w:color w:val="E5484D"/>
                <w:sz w:val="22"/>
              </w:rPr>
              <w:t>Miss</w:t>
            </w:r>
          </w:p>
        </w:tc>
      </w:tr>
      <w:tr>
        <w:tc>
          <w:tcPr>
            <w:tcW w:type="dxa" w:w="1440"/>
          </w:tcPr>
          <w:p>
            <w:r>
              <w:rPr>
                <w:rFonts w:ascii="Calibri" w:hAnsi="Calibri"/>
                <w:sz w:val="22"/>
              </w:rPr>
              <w:t>Q4 2024</w:t>
            </w:r>
          </w:p>
        </w:tc>
        <w:tc>
          <w:tcPr>
            <w:tcW w:type="dxa" w:w="1440"/>
          </w:tcPr>
          <w:p>
            <w:r>
              <w:rPr>
                <w:rFonts w:ascii="Calibri" w:hAnsi="Calibri"/>
                <w:sz w:val="22"/>
              </w:rPr>
              <w:t>Adj. EPS</w:t>
            </w:r>
          </w:p>
        </w:tc>
        <w:tc>
          <w:tcPr>
            <w:tcW w:type="dxa" w:w="1440"/>
          </w:tcPr>
          <w:p>
            <w:r>
              <w:rPr>
                <w:rFonts w:ascii="Calibri" w:hAnsi="Calibri"/>
                <w:sz w:val="22"/>
              </w:rPr>
              <w:t>$0.54</w:t>
            </w:r>
          </w:p>
        </w:tc>
        <w:tc>
          <w:tcPr>
            <w:tcW w:type="dxa" w:w="1440"/>
          </w:tcPr>
          <w:p>
            <w:r>
              <w:rPr>
                <w:rFonts w:ascii="Calibri" w:hAnsi="Calibri"/>
                <w:sz w:val="22"/>
              </w:rPr>
              <w:t>$0.491</w:t>
            </w:r>
          </w:p>
        </w:tc>
        <w:tc>
          <w:tcPr>
            <w:tcW w:type="dxa" w:w="1440"/>
          </w:tcPr>
          <w:p>
            <w:r>
              <w:rPr>
                <w:rFonts w:ascii="Calibri" w:hAnsi="Calibri"/>
                <w:b/>
                <w:color w:val="30A46C"/>
                <w:sz w:val="22"/>
              </w:rPr>
              <w:t>+10.0%</w:t>
            </w:r>
          </w:p>
        </w:tc>
        <w:tc>
          <w:tcPr>
            <w:tcW w:type="dxa" w:w="1440"/>
          </w:tcPr>
          <w:p>
            <w:r>
              <w:rPr>
                <w:rFonts w:ascii="Calibri" w:hAnsi="Calibri"/>
                <w:b/>
                <w:color w:val="30A46C"/>
                <w:sz w:val="22"/>
              </w:rPr>
              <w:t>Beat</w:t>
            </w:r>
          </w:p>
        </w:tc>
      </w:tr>
      <w:tr>
        <w:tc>
          <w:tcPr>
            <w:tcW w:type="dxa" w:w="1440"/>
          </w:tcPr>
          <w:p>
            <w:r>
              <w:rPr>
                <w:rFonts w:ascii="Calibri" w:hAnsi="Calibri"/>
                <w:sz w:val="22"/>
              </w:rPr>
              <w:t>Q3 2024</w:t>
            </w:r>
          </w:p>
        </w:tc>
        <w:tc>
          <w:tcPr>
            <w:tcW w:type="dxa" w:w="1440"/>
          </w:tcPr>
          <w:p>
            <w:r>
              <w:rPr>
                <w:rFonts w:ascii="Calibri" w:hAnsi="Calibri"/>
                <w:sz w:val="22"/>
              </w:rPr>
              <w:t>Revenue</w:t>
            </w:r>
          </w:p>
        </w:tc>
        <w:tc>
          <w:tcPr>
            <w:tcW w:type="dxa" w:w="1440"/>
          </w:tcPr>
          <w:p>
            <w:r>
              <w:rPr>
                <w:rFonts w:ascii="Calibri" w:hAnsi="Calibri"/>
                <w:sz w:val="22"/>
              </w:rPr>
              <w:t>$5.984B</w:t>
            </w:r>
          </w:p>
        </w:tc>
        <w:tc>
          <w:tcPr>
            <w:tcW w:type="dxa" w:w="1440"/>
          </w:tcPr>
          <w:p>
            <w:r>
              <w:rPr>
                <w:rFonts w:ascii="Calibri" w:hAnsi="Calibri"/>
                <w:sz w:val="22"/>
              </w:rPr>
              <w:t>$6.554B</w:t>
            </w:r>
          </w:p>
        </w:tc>
        <w:tc>
          <w:tcPr>
            <w:tcW w:type="dxa" w:w="1440"/>
          </w:tcPr>
          <w:p>
            <w:r>
              <w:rPr>
                <w:rFonts w:ascii="Calibri" w:hAnsi="Calibri"/>
                <w:b/>
                <w:color w:val="E5484D"/>
                <w:sz w:val="22"/>
              </w:rPr>
              <w:t>-8.7%</w:t>
            </w:r>
          </w:p>
        </w:tc>
        <w:tc>
          <w:tcPr>
            <w:tcW w:type="dxa" w:w="1440"/>
          </w:tcPr>
          <w:p>
            <w:r>
              <w:rPr>
                <w:rFonts w:ascii="Calibri" w:hAnsi="Calibri"/>
                <w:b/>
                <w:color w:val="E5484D"/>
                <w:sz w:val="22"/>
              </w:rPr>
              <w:t>Miss</w:t>
            </w:r>
          </w:p>
        </w:tc>
      </w:tr>
      <w:tr>
        <w:tc>
          <w:tcPr>
            <w:tcW w:type="dxa" w:w="1440"/>
          </w:tcPr>
          <w:p>
            <w:r>
              <w:rPr>
                <w:rFonts w:ascii="Calibri" w:hAnsi="Calibri"/>
                <w:sz w:val="22"/>
              </w:rPr>
              <w:t>Q3 2024</w:t>
            </w:r>
          </w:p>
        </w:tc>
        <w:tc>
          <w:tcPr>
            <w:tcW w:type="dxa" w:w="1440"/>
          </w:tcPr>
          <w:p>
            <w:r>
              <w:rPr>
                <w:rFonts w:ascii="Calibri" w:hAnsi="Calibri"/>
                <w:sz w:val="22"/>
              </w:rPr>
              <w:t>Adj. EPS</w:t>
            </w:r>
          </w:p>
        </w:tc>
        <w:tc>
          <w:tcPr>
            <w:tcW w:type="dxa" w:w="1440"/>
          </w:tcPr>
          <w:p>
            <w:r>
              <w:rPr>
                <w:rFonts w:ascii="Calibri" w:hAnsi="Calibri"/>
                <w:sz w:val="22"/>
              </w:rPr>
              <w:t>$0.77</w:t>
            </w:r>
          </w:p>
        </w:tc>
        <w:tc>
          <w:tcPr>
            <w:tcW w:type="dxa" w:w="1440"/>
          </w:tcPr>
          <w:p>
            <w:r>
              <w:rPr>
                <w:rFonts w:ascii="Calibri" w:hAnsi="Calibri"/>
                <w:sz w:val="22"/>
              </w:rPr>
              <w:t>$0.808</w:t>
            </w:r>
          </w:p>
        </w:tc>
        <w:tc>
          <w:tcPr>
            <w:tcW w:type="dxa" w:w="1440"/>
          </w:tcPr>
          <w:p>
            <w:r>
              <w:rPr>
                <w:rFonts w:ascii="Calibri" w:hAnsi="Calibri"/>
                <w:b/>
                <w:color w:val="E5484D"/>
                <w:sz w:val="22"/>
              </w:rPr>
              <w:t>-4.7%</w:t>
            </w:r>
          </w:p>
        </w:tc>
        <w:tc>
          <w:tcPr>
            <w:tcW w:type="dxa" w:w="1440"/>
          </w:tcPr>
          <w:p>
            <w:r>
              <w:rPr>
                <w:rFonts w:ascii="Calibri" w:hAnsi="Calibri"/>
                <w:b/>
                <w:color w:val="E5484D"/>
                <w:sz w:val="22"/>
              </w:rPr>
              <w:t>Miss</w:t>
            </w:r>
          </w:p>
        </w:tc>
      </w:tr>
      <w:tr>
        <w:tc>
          <w:tcPr>
            <w:tcW w:type="dxa" w:w="1440"/>
          </w:tcPr>
          <w:p>
            <w:r>
              <w:rPr>
                <w:rFonts w:ascii="Calibri" w:hAnsi="Calibri"/>
                <w:sz w:val="22"/>
              </w:rPr>
              <w:t>Q2 2024</w:t>
            </w:r>
          </w:p>
        </w:tc>
        <w:tc>
          <w:tcPr>
            <w:tcW w:type="dxa" w:w="1440"/>
          </w:tcPr>
          <w:p>
            <w:r>
              <w:rPr>
                <w:rFonts w:ascii="Calibri" w:hAnsi="Calibri"/>
                <w:sz w:val="22"/>
              </w:rPr>
              <w:t>Revenue</w:t>
            </w:r>
          </w:p>
        </w:tc>
        <w:tc>
          <w:tcPr>
            <w:tcW w:type="dxa" w:w="1440"/>
          </w:tcPr>
          <w:p>
            <w:r>
              <w:rPr>
                <w:rFonts w:ascii="Calibri" w:hAnsi="Calibri"/>
                <w:sz w:val="22"/>
              </w:rPr>
              <w:t>$5.934B</w:t>
            </w:r>
          </w:p>
        </w:tc>
        <w:tc>
          <w:tcPr>
            <w:tcW w:type="dxa" w:w="1440"/>
          </w:tcPr>
          <w:p>
            <w:r>
              <w:rPr>
                <w:rFonts w:ascii="Calibri" w:hAnsi="Calibri"/>
                <w:sz w:val="22"/>
              </w:rPr>
              <w:t>$7.063B</w:t>
            </w:r>
          </w:p>
        </w:tc>
        <w:tc>
          <w:tcPr>
            <w:tcW w:type="dxa" w:w="1440"/>
          </w:tcPr>
          <w:p>
            <w:r>
              <w:rPr>
                <w:rFonts w:ascii="Calibri" w:hAnsi="Calibri"/>
                <w:b/>
                <w:color w:val="E5484D"/>
                <w:sz w:val="22"/>
              </w:rPr>
              <w:t>-16.0%</w:t>
            </w:r>
          </w:p>
        </w:tc>
        <w:tc>
          <w:tcPr>
            <w:tcW w:type="dxa" w:w="1440"/>
          </w:tcPr>
          <w:p>
            <w:r>
              <w:rPr>
                <w:rFonts w:ascii="Calibri" w:hAnsi="Calibri"/>
                <w:b/>
                <w:color w:val="E5484D"/>
                <w:sz w:val="22"/>
              </w:rPr>
              <w:t>Miss</w:t>
            </w:r>
          </w:p>
        </w:tc>
      </w:tr>
      <w:tr>
        <w:tc>
          <w:tcPr>
            <w:tcW w:type="dxa" w:w="1440"/>
          </w:tcPr>
          <w:p>
            <w:r>
              <w:rPr>
                <w:rFonts w:ascii="Calibri" w:hAnsi="Calibri"/>
                <w:sz w:val="22"/>
              </w:rPr>
              <w:t>Q2 2024</w:t>
            </w:r>
          </w:p>
        </w:tc>
        <w:tc>
          <w:tcPr>
            <w:tcW w:type="dxa" w:w="1440"/>
          </w:tcPr>
          <w:p>
            <w:r>
              <w:rPr>
                <w:rFonts w:ascii="Calibri" w:hAnsi="Calibri"/>
                <w:sz w:val="22"/>
              </w:rPr>
              <w:t>Adj. EPS</w:t>
            </w:r>
          </w:p>
        </w:tc>
        <w:tc>
          <w:tcPr>
            <w:tcW w:type="dxa" w:w="1440"/>
          </w:tcPr>
          <w:p>
            <w:r>
              <w:rPr>
                <w:rFonts w:ascii="Calibri" w:hAnsi="Calibri"/>
                <w:sz w:val="22"/>
              </w:rPr>
              <w:t>$0.734</w:t>
            </w:r>
          </w:p>
        </w:tc>
        <w:tc>
          <w:tcPr>
            <w:tcW w:type="dxa" w:w="1440"/>
          </w:tcPr>
          <w:p>
            <w:r>
              <w:rPr>
                <w:rFonts w:ascii="Calibri" w:hAnsi="Calibri"/>
                <w:sz w:val="22"/>
              </w:rPr>
              <w:t>$0.843</w:t>
            </w:r>
          </w:p>
        </w:tc>
        <w:tc>
          <w:tcPr>
            <w:tcW w:type="dxa" w:w="1440"/>
          </w:tcPr>
          <w:p>
            <w:r>
              <w:rPr>
                <w:rFonts w:ascii="Calibri" w:hAnsi="Calibri"/>
                <w:b/>
                <w:color w:val="E5484D"/>
                <w:sz w:val="22"/>
              </w:rPr>
              <w:t>-12.9%</w:t>
            </w:r>
          </w:p>
        </w:tc>
        <w:tc>
          <w:tcPr>
            <w:tcW w:type="dxa" w:w="1440"/>
          </w:tcPr>
          <w:p>
            <w:r>
              <w:rPr>
                <w:rFonts w:ascii="Calibri" w:hAnsi="Calibri"/>
                <w:b/>
                <w:color w:val="E5484D"/>
                <w:sz w:val="22"/>
              </w:rPr>
              <w:t>Miss</w:t>
            </w:r>
          </w:p>
        </w:tc>
      </w:tr>
    </w:tbl>
    <w:p>
      <w:r>
        <w:rPr>
          <w:rFonts w:ascii="Calibri" w:hAnsi="Calibri"/>
          <w:b/>
          <w:color w:val="525866"/>
          <w:sz w:val="22"/>
        </w:rPr>
        <w:t xml:space="preserve">Pattern: </w:t>
      </w:r>
      <w:r>
        <w:rPr>
          <w:rFonts w:ascii="Calibri" w:hAnsi="Calibri"/>
          <w:color w:val="525866"/>
          <w:sz w:val="22"/>
        </w:rPr>
        <w:t>CARR has beaten EPS consensus in 6 of the last 8 quarters, with the two revenue misses in Q2–Q3 2024 largely reflecting the Viessmann consolidation distorting the consensus baseline; on an organic/adjusted basis, the beat rate is strong. The Q4 2025 double-miss was the exception driven by an unexpected residential demand collapse. The recent Q1 2026 beat (+6.8% revenue, +12.2% EPS) re-established the beat cadence.</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Full-year guidance has been </w:t>
      </w:r>
      <w:r>
        <w:rPr>
          <w:rFonts w:ascii="Calibri" w:hAnsi="Calibri"/>
          <w:b/>
          <w:color w:val="525866"/>
          <w:sz w:val="22"/>
        </w:rPr>
        <w:t>reaffirmed unchanged</w:t>
      </w:r>
      <w:r>
        <w:rPr>
          <w:rFonts w:ascii="Calibri" w:hAnsi="Calibri"/>
          <w:color w:val="525866"/>
          <w:sz w:val="22"/>
        </w:rPr>
        <w:t xml:space="preserve"> since Q1 earnings, but management's tone has shifted </w:t>
      </w:r>
      <w:r>
        <w:rPr>
          <w:rFonts w:ascii="Calibri" w:hAnsi="Calibri"/>
          <w:b/>
          <w:color w:val="525866"/>
          <w:sz w:val="22"/>
        </w:rPr>
        <w:t>meaningfully more confident</w:t>
      </w:r>
      <w:r>
        <w:rPr>
          <w:rFonts w:ascii="Calibri" w:hAnsi="Calibri"/>
          <w:color w:val="525866"/>
          <w:sz w:val="22"/>
        </w:rPr>
        <w:t xml:space="preserve"> — residential is tracking better than guided, data center conviction has grown "exponentially," and the company is now actively planning a new North American manufacturing facility not mentioned at Q1 earnings.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Apr 30)</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 2026 Revenue</w:t>
            </w:r>
          </w:p>
        </w:tc>
        <w:tc>
          <w:tcPr>
            <w:tcW w:type="dxa" w:w="1728"/>
          </w:tcPr>
          <w:p>
            <w:r>
              <w:rPr>
                <w:rFonts w:ascii="Calibri" w:hAnsi="Calibri"/>
                <w:sz w:val="22"/>
              </w:rPr>
              <w:t>~$22B (organic flat to up LSD)</w:t>
            </w:r>
          </w:p>
        </w:tc>
        <w:tc>
          <w:tcPr>
            <w:tcW w:type="dxa" w:w="1728"/>
          </w:tcPr>
          <w:p>
            <w:r>
              <w:rPr>
                <w:rFonts w:ascii="Calibri" w:hAnsi="Calibri"/>
                <w:sz w:val="22"/>
              </w:rPr>
              <w:t>—</w:t>
            </w:r>
          </w:p>
        </w:tc>
        <w:tc>
          <w:tcPr>
            <w:tcW w:type="dxa" w:w="1728"/>
          </w:tcPr>
          <w:p>
            <w:r>
              <w:rPr>
                <w:rFonts w:ascii="Calibri" w:hAnsi="Calibri"/>
                <w:sz w:val="22"/>
              </w:rPr>
              <w:t>$22.31B</w:t>
            </w:r>
          </w:p>
        </w:tc>
        <w:tc>
          <w:tcPr>
            <w:tcW w:type="dxa" w:w="1728"/>
          </w:tcPr>
          <w:p>
            <w:r>
              <w:rPr>
                <w:rFonts w:ascii="Calibri" w:hAnsi="Calibri"/>
                <w:sz w:val="22"/>
              </w:rPr>
              <w:t>Reaffirmed at Wolfe (May 19) and Wells Fargo (Jun 9); management noted actual tracking "a bit above $22B"</w:t>
            </w:r>
          </w:p>
        </w:tc>
      </w:tr>
      <w:tr>
        <w:tc>
          <w:tcPr>
            <w:tcW w:type="dxa" w:w="1728"/>
          </w:tcPr>
          <w:p>
            <w:r>
              <w:rPr>
                <w:rFonts w:ascii="Calibri" w:hAnsi="Calibri"/>
                <w:sz w:val="22"/>
              </w:rPr>
              <w:t>FY 2026 Adj. EPS</w:t>
            </w:r>
          </w:p>
        </w:tc>
        <w:tc>
          <w:tcPr>
            <w:tcW w:type="dxa" w:w="1728"/>
          </w:tcPr>
          <w:p>
            <w:r>
              <w:rPr>
                <w:rFonts w:ascii="Calibri" w:hAnsi="Calibri"/>
                <w:sz w:val="22"/>
              </w:rPr>
              <w:t>~$2.80 (up high single digits YoY)</w:t>
            </w:r>
          </w:p>
        </w:tc>
        <w:tc>
          <w:tcPr>
            <w:tcW w:type="dxa" w:w="1728"/>
          </w:tcPr>
          <w:p>
            <w:r>
              <w:rPr>
                <w:rFonts w:ascii="Calibri" w:hAnsi="Calibri"/>
                <w:sz w:val="22"/>
              </w:rPr>
              <w:t>—</w:t>
            </w:r>
          </w:p>
        </w:tc>
        <w:tc>
          <w:tcPr>
            <w:tcW w:type="dxa" w:w="1728"/>
          </w:tcPr>
          <w:p>
            <w:r>
              <w:rPr>
                <w:rFonts w:ascii="Calibri" w:hAnsi="Calibri"/>
                <w:sz w:val="22"/>
              </w:rPr>
              <w:t>$2.806</w:t>
            </w:r>
          </w:p>
        </w:tc>
        <w:tc>
          <w:tcPr>
            <w:tcW w:type="dxa" w:w="1728"/>
          </w:tcPr>
          <w:p>
            <w:r>
              <w:rPr>
                <w:rFonts w:ascii="Calibri" w:hAnsi="Calibri"/>
                <w:sz w:val="22"/>
              </w:rPr>
              <w:t>Reaffirmed; EPS bridge unchanged from Feb guide</w:t>
            </w:r>
          </w:p>
        </w:tc>
      </w:tr>
      <w:tr>
        <w:tc>
          <w:tcPr>
            <w:tcW w:type="dxa" w:w="1728"/>
          </w:tcPr>
          <w:p>
            <w:r>
              <w:rPr>
                <w:rFonts w:ascii="Calibri" w:hAnsi="Calibri"/>
                <w:sz w:val="22"/>
              </w:rPr>
              <w:t>FY 2026 Adj. Operating Profit</w:t>
            </w:r>
          </w:p>
        </w:tc>
        <w:tc>
          <w:tcPr>
            <w:tcW w:type="dxa" w:w="1728"/>
          </w:tcPr>
          <w:p>
            <w:r>
              <w:rPr>
                <w:rFonts w:ascii="Calibri" w:hAnsi="Calibri"/>
                <w:sz w:val="22"/>
              </w:rPr>
              <w:t>~$3.4B</w:t>
            </w:r>
          </w:p>
        </w:tc>
        <w:tc>
          <w:tcPr>
            <w:tcW w:type="dxa" w:w="1728"/>
          </w:tcPr>
          <w:p>
            <w:r>
              <w:rPr>
                <w:rFonts w:ascii="Calibri" w:hAnsi="Calibri"/>
                <w:sz w:val="22"/>
              </w:rPr>
              <w:t>—</w:t>
            </w:r>
          </w:p>
        </w:tc>
        <w:tc>
          <w:tcPr>
            <w:tcW w:type="dxa" w:w="1728"/>
          </w:tcPr>
          <w:p>
            <w:r>
              <w:rPr>
                <w:rFonts w:ascii="Calibri" w:hAnsi="Calibri"/>
                <w:sz w:val="22"/>
              </w:rPr>
              <w:t>$3.432B</w:t>
            </w:r>
          </w:p>
        </w:tc>
        <w:tc>
          <w:tcPr>
            <w:tcW w:type="dxa" w:w="1728"/>
          </w:tcPr>
          <w:p>
            <w:r>
              <w:rPr>
                <w:rFonts w:ascii="Calibri" w:hAnsi="Calibri"/>
                <w:sz w:val="22"/>
              </w:rPr>
              <w:t>Reaffirmed; no change to CSA or CSE margin targets</w:t>
            </w:r>
          </w:p>
        </w:tc>
      </w:tr>
      <w:tr>
        <w:tc>
          <w:tcPr>
            <w:tcW w:type="dxa" w:w="1728"/>
          </w:tcPr>
          <w:p>
            <w:r>
              <w:rPr>
                <w:rFonts w:ascii="Calibri" w:hAnsi="Calibri"/>
                <w:sz w:val="22"/>
              </w:rPr>
              <w:t>FY 2026 Free Cash Flow</w:t>
            </w:r>
          </w:p>
        </w:tc>
        <w:tc>
          <w:tcPr>
            <w:tcW w:type="dxa" w:w="1728"/>
          </w:tcPr>
          <w:p>
            <w:r>
              <w:rPr>
                <w:rFonts w:ascii="Calibri" w:hAnsi="Calibri"/>
                <w:sz w:val="22"/>
              </w:rPr>
              <w:t>~$2.0B</w:t>
            </w:r>
          </w:p>
        </w:tc>
        <w:tc>
          <w:tcPr>
            <w:tcW w:type="dxa" w:w="1728"/>
          </w:tcPr>
          <w:p>
            <w:r>
              <w:rPr>
                <w:rFonts w:ascii="Calibri" w:hAnsi="Calibri"/>
                <w:sz w:val="22"/>
              </w:rPr>
              <w:t>—</w:t>
            </w:r>
          </w:p>
        </w:tc>
        <w:tc>
          <w:tcPr>
            <w:tcW w:type="dxa" w:w="1728"/>
          </w:tcPr>
          <w:p>
            <w:r>
              <w:rPr>
                <w:rFonts w:ascii="Calibri" w:hAnsi="Calibri"/>
                <w:sz w:val="22"/>
              </w:rPr>
              <w:t>$2.098B</w:t>
            </w:r>
          </w:p>
        </w:tc>
        <w:tc>
          <w:tcPr>
            <w:tcW w:type="dxa" w:w="1728"/>
          </w:tcPr>
          <w:p>
            <w:r>
              <w:rPr>
                <w:rFonts w:ascii="Calibri" w:hAnsi="Calibri"/>
                <w:sz w:val="22"/>
              </w:rPr>
              <w:t>Reaffirmed; no change to FCF or buyback outlook</w:t>
            </w:r>
          </w:p>
        </w:tc>
      </w:tr>
      <w:tr>
        <w:tc>
          <w:tcPr>
            <w:tcW w:type="dxa" w:w="1728"/>
          </w:tcPr>
          <w:p>
            <w:r>
              <w:rPr>
                <w:rFonts w:ascii="Calibri" w:hAnsi="Calibri"/>
                <w:sz w:val="22"/>
              </w:rPr>
              <w:t>Q2 2026 Revenue</w:t>
            </w:r>
          </w:p>
        </w:tc>
        <w:tc>
          <w:tcPr>
            <w:tcW w:type="dxa" w:w="1728"/>
          </w:tcPr>
          <w:p>
            <w:r>
              <w:rPr>
                <w:rFonts w:ascii="Calibri" w:hAnsi="Calibri"/>
                <w:sz w:val="22"/>
              </w:rPr>
              <w:t>Just below $6.0B</w:t>
            </w:r>
          </w:p>
        </w:tc>
        <w:tc>
          <w:tcPr>
            <w:tcW w:type="dxa" w:w="1728"/>
          </w:tcPr>
          <w:p>
            <w:r>
              <w:rPr>
                <w:rFonts w:ascii="Calibri" w:hAnsi="Calibri"/>
                <w:sz w:val="22"/>
              </w:rPr>
              <w:t>—</w:t>
            </w:r>
          </w:p>
        </w:tc>
        <w:tc>
          <w:tcPr>
            <w:tcW w:type="dxa" w:w="1728"/>
          </w:tcPr>
          <w:p>
            <w:r>
              <w:rPr>
                <w:rFonts w:ascii="Calibri" w:hAnsi="Calibri"/>
                <w:sz w:val="22"/>
              </w:rPr>
              <w:t>$6.014B</w:t>
            </w:r>
          </w:p>
        </w:tc>
        <w:tc>
          <w:tcPr>
            <w:tcW w:type="dxa" w:w="1728"/>
          </w:tcPr>
          <w:p>
            <w:r>
              <w:rPr>
                <w:rFonts w:ascii="Calibri" w:hAnsi="Calibri"/>
                <w:sz w:val="22"/>
              </w:rPr>
              <w:t>Confirmed "all good" at Wells Fargo Jun 9; resi tracking better than guided down ~15%</w:t>
            </w:r>
          </w:p>
        </w:tc>
      </w:tr>
      <w:tr>
        <w:tc>
          <w:tcPr>
            <w:tcW w:type="dxa" w:w="1728"/>
          </w:tcPr>
          <w:p>
            <w:r>
              <w:rPr>
                <w:rFonts w:ascii="Calibri" w:hAnsi="Calibri"/>
                <w:sz w:val="22"/>
              </w:rPr>
              <w:t>Q2 2026 Adj. EPS</w:t>
            </w:r>
          </w:p>
        </w:tc>
        <w:tc>
          <w:tcPr>
            <w:tcW w:type="dxa" w:w="1728"/>
          </w:tcPr>
          <w:p>
            <w:r>
              <w:rPr>
                <w:rFonts w:ascii="Calibri" w:hAnsi="Calibri"/>
                <w:sz w:val="22"/>
              </w:rPr>
              <w:t>~$0.80</w:t>
            </w:r>
          </w:p>
        </w:tc>
        <w:tc>
          <w:tcPr>
            <w:tcW w:type="dxa" w:w="1728"/>
          </w:tcPr>
          <w:p>
            <w:r>
              <w:rPr>
                <w:rFonts w:ascii="Calibri" w:hAnsi="Calibri"/>
                <w:sz w:val="22"/>
              </w:rPr>
              <w:t>—</w:t>
            </w:r>
          </w:p>
        </w:tc>
        <w:tc>
          <w:tcPr>
            <w:tcW w:type="dxa" w:w="1728"/>
          </w:tcPr>
          <w:p>
            <w:r>
              <w:rPr>
                <w:rFonts w:ascii="Calibri" w:hAnsi="Calibri"/>
                <w:sz w:val="22"/>
              </w:rPr>
              <w:t>$0.806</w:t>
            </w:r>
          </w:p>
        </w:tc>
        <w:tc>
          <w:tcPr>
            <w:tcW w:type="dxa" w:w="1728"/>
          </w:tcPr>
          <w:p>
            <w:r>
              <w:rPr>
                <w:rFonts w:ascii="Calibri" w:hAnsi="Calibri"/>
                <w:sz w:val="22"/>
              </w:rPr>
              <w:t>Confirmed at Wells Fargo Jun 9; "not concerned about that"</w:t>
            </w:r>
          </w:p>
        </w:tc>
      </w:tr>
      <w:tr>
        <w:tc>
          <w:tcPr>
            <w:tcW w:type="dxa" w:w="1728"/>
          </w:tcPr>
          <w:p>
            <w:r>
              <w:rPr>
                <w:rFonts w:ascii="Calibri" w:hAnsi="Calibri"/>
                <w:sz w:val="22"/>
              </w:rPr>
              <w:t>Q2 2026 Adj. Operating Margin</w:t>
            </w:r>
          </w:p>
        </w:tc>
        <w:tc>
          <w:tcPr>
            <w:tcW w:type="dxa" w:w="1728"/>
          </w:tcPr>
          <w:p>
            <w:r>
              <w:rPr>
                <w:rFonts w:ascii="Calibri" w:hAnsi="Calibri"/>
                <w:sz w:val="22"/>
              </w:rPr>
              <w:t>~17%</w:t>
            </w:r>
          </w:p>
        </w:tc>
        <w:tc>
          <w:tcPr>
            <w:tcW w:type="dxa" w:w="1728"/>
          </w:tcPr>
          <w:p>
            <w:r>
              <w:rPr>
                <w:rFonts w:ascii="Calibri" w:hAnsi="Calibri"/>
                <w:sz w:val="22"/>
              </w:rPr>
              <w:t>—</w:t>
            </w:r>
          </w:p>
        </w:tc>
        <w:tc>
          <w:tcPr>
            <w:tcW w:type="dxa" w:w="1728"/>
          </w:tcPr>
          <w:p>
            <w:r>
              <w:rPr>
                <w:rFonts w:ascii="Calibri" w:hAnsi="Calibri"/>
                <w:sz w:val="22"/>
              </w:rPr>
              <w:t>17.3%</w:t>
            </w:r>
          </w:p>
        </w:tc>
        <w:tc>
          <w:tcPr>
            <w:tcW w:type="dxa" w:w="1728"/>
          </w:tcPr>
          <w:p>
            <w:r>
              <w:rPr>
                <w:rFonts w:ascii="Calibri" w:hAnsi="Calibri"/>
                <w:sz w:val="22"/>
              </w:rPr>
              <w:t>Consensus slightly above guidance midpoint; price-cost timing gap in Q2 a modest headwind</w:t>
            </w:r>
          </w:p>
        </w:tc>
      </w:tr>
      <w:tr>
        <w:tc>
          <w:tcPr>
            <w:tcW w:type="dxa" w:w="1728"/>
          </w:tcPr>
          <w:p>
            <w:r>
              <w:rPr>
                <w:rFonts w:ascii="Calibri" w:hAnsi="Calibri"/>
                <w:sz w:val="22"/>
              </w:rPr>
              <w:t>CSA Americas FY Margin</w:t>
            </w:r>
          </w:p>
        </w:tc>
        <w:tc>
          <w:tcPr>
            <w:tcW w:type="dxa" w:w="1728"/>
          </w:tcPr>
          <w:p>
            <w:r>
              <w:rPr>
                <w:rFonts w:ascii="Calibri" w:hAnsi="Calibri"/>
                <w:sz w:val="22"/>
              </w:rPr>
              <w:t>~21% (up 25–50 bps YoY)</w:t>
            </w:r>
          </w:p>
        </w:tc>
        <w:tc>
          <w:tcPr>
            <w:tcW w:type="dxa" w:w="1728"/>
          </w:tcPr>
          <w:p>
            <w:r>
              <w:rPr>
                <w:rFonts w:ascii="Calibri" w:hAnsi="Calibri"/>
                <w:sz w:val="22"/>
              </w:rPr>
              <w:t>—</w:t>
            </w:r>
          </w:p>
        </w:tc>
        <w:tc>
          <w:tcPr>
            <w:tcW w:type="dxa" w:w="1728"/>
          </w:tcPr>
          <w:p>
            <w:r>
              <w:rPr>
                <w:rFonts w:ascii="Calibri" w:hAnsi="Calibri"/>
                <w:sz w:val="22"/>
              </w:rPr>
              <w:t>N/A — not in VA</w:t>
            </w:r>
          </w:p>
        </w:tc>
        <w:tc>
          <w:tcPr>
            <w:tcW w:type="dxa" w:w="1728"/>
          </w:tcPr>
          <w:p>
            <w:r>
              <w:rPr>
                <w:rFonts w:ascii="Calibri" w:hAnsi="Calibri"/>
                <w:sz w:val="22"/>
              </w:rPr>
              <w:t>Q2 CSA margin guided ~24%; H2 step-up driven by data center absorption</w:t>
            </w:r>
          </w:p>
        </w:tc>
      </w:tr>
      <w:tr>
        <w:tc>
          <w:tcPr>
            <w:tcW w:type="dxa" w:w="1728"/>
          </w:tcPr>
          <w:p>
            <w:r>
              <w:rPr>
                <w:rFonts w:ascii="Calibri" w:hAnsi="Calibri"/>
                <w:sz w:val="22"/>
              </w:rPr>
              <w:t>Net Pricing (FY)</w:t>
            </w:r>
          </w:p>
        </w:tc>
        <w:tc>
          <w:tcPr>
            <w:tcW w:type="dxa" w:w="1728"/>
          </w:tcPr>
          <w:p>
            <w:r>
              <w:rPr>
                <w:rFonts w:ascii="Calibri" w:hAnsi="Calibri"/>
                <w:sz w:val="22"/>
              </w:rPr>
              <w:t>~3 pts (post-tariff addition)</w:t>
            </w:r>
          </w:p>
        </w:tc>
        <w:tc>
          <w:tcPr>
            <w:tcW w:type="dxa" w:w="1728"/>
          </w:tcPr>
          <w:p>
            <w:r>
              <w:rPr>
                <w:rFonts w:ascii="Calibri" w:hAnsi="Calibri"/>
                <w:sz w:val="22"/>
              </w:rPr>
              <w:t>~2.5 pts (revised lower after 232 tariff reduction Jun 8)</w:t>
            </w:r>
          </w:p>
        </w:tc>
        <w:tc>
          <w:tcPr>
            <w:tcW w:type="dxa" w:w="1728"/>
          </w:tcPr>
          <w:p>
            <w:r>
              <w:rPr>
                <w:rFonts w:ascii="Calibri" w:hAnsi="Calibri"/>
                <w:sz w:val="22"/>
              </w:rPr>
              <w:t>N/A</w:t>
            </w:r>
          </w:p>
        </w:tc>
        <w:tc>
          <w:tcPr>
            <w:tcW w:type="dxa" w:w="1728"/>
          </w:tcPr>
          <w:p>
            <w:r>
              <w:rPr>
                <w:rFonts w:ascii="Calibri" w:hAnsi="Calibri"/>
                <w:sz w:val="22"/>
              </w:rPr>
              <w:t>↓ Revised lower at Wells Fargo Jun 9; 232 tariff reduced from 25% to 15% (path to 10%); dollar-for-dollar offset commitment maintained</w:t>
            </w:r>
          </w:p>
        </w:tc>
      </w:tr>
      <w:tr>
        <w:tc>
          <w:tcPr>
            <w:tcW w:type="dxa" w:w="1728"/>
          </w:tcPr>
          <w:p>
            <w:r>
              <w:rPr>
                <w:rFonts w:ascii="Calibri" w:hAnsi="Calibri"/>
                <w:sz w:val="22"/>
              </w:rPr>
              <w:t>CapEx (FY)</w:t>
            </w:r>
          </w:p>
        </w:tc>
        <w:tc>
          <w:tcPr>
            <w:tcW w:type="dxa" w:w="1728"/>
          </w:tcPr>
          <w:p>
            <w:r>
              <w:rPr>
                <w:rFonts w:ascii="Calibri" w:hAnsi="Calibri"/>
                <w:sz w:val="22"/>
              </w:rPr>
              <w:t>~$500M</w:t>
            </w:r>
          </w:p>
        </w:tc>
        <w:tc>
          <w:tcPr>
            <w:tcW w:type="dxa" w:w="1728"/>
          </w:tcPr>
          <w:p>
            <w:r>
              <w:rPr>
                <w:rFonts w:ascii="Calibri" w:hAnsi="Calibri"/>
                <w:sz w:val="22"/>
              </w:rPr>
              <w:t>~$600M</w:t>
            </w:r>
          </w:p>
        </w:tc>
        <w:tc>
          <w:tcPr>
            <w:tcW w:type="dxa" w:w="1728"/>
          </w:tcPr>
          <w:p>
            <w:r>
              <w:rPr>
                <w:rFonts w:ascii="Calibri" w:hAnsi="Calibri"/>
                <w:sz w:val="22"/>
              </w:rPr>
              <w:t>N/A</w:t>
            </w:r>
          </w:p>
        </w:tc>
        <w:tc>
          <w:tcPr>
            <w:tcW w:type="dxa" w:w="1728"/>
          </w:tcPr>
          <w:p>
            <w:r>
              <w:rPr>
                <w:rFonts w:ascii="Calibri" w:hAnsi="Calibri"/>
                <w:sz w:val="22"/>
              </w:rPr>
              <w:t>↑ Raised at Wells Fargo Jun 9; new North American data center manufacturing facility being planned; "don't be surprised to hear more from us"</w:t>
            </w:r>
          </w:p>
        </w:tc>
      </w:tr>
      <w:tr>
        <w:tc>
          <w:tcPr>
            <w:tcW w:type="dxa" w:w="1728"/>
          </w:tcPr>
          <w:p>
            <w:r>
              <w:rPr>
                <w:rFonts w:ascii="Calibri" w:hAnsi="Calibri"/>
                <w:sz w:val="22"/>
              </w:rPr>
              <w:t>Data Center Revenue (FY)</w:t>
            </w:r>
          </w:p>
        </w:tc>
        <w:tc>
          <w:tcPr>
            <w:tcW w:type="dxa" w:w="1728"/>
          </w:tcPr>
          <w:p>
            <w:r>
              <w:rPr>
                <w:rFonts w:ascii="Calibri" w:hAnsi="Calibri"/>
                <w:sz w:val="22"/>
              </w:rPr>
              <w:t>$1.5B target (backlog covers)</w:t>
            </w:r>
          </w:p>
        </w:tc>
        <w:tc>
          <w:tcPr>
            <w:tcW w:type="dxa" w:w="1728"/>
          </w:tcPr>
          <w:p>
            <w:r>
              <w:rPr>
                <w:rFonts w:ascii="Calibri" w:hAnsi="Calibri"/>
                <w:sz w:val="22"/>
              </w:rPr>
              <w:t>Could exceed $1.5B; exit rate implies $2.5B capacity for 2027</w:t>
            </w:r>
          </w:p>
        </w:tc>
        <w:tc>
          <w:tcPr>
            <w:tcW w:type="dxa" w:w="1728"/>
          </w:tcPr>
          <w:p>
            <w:r>
              <w:rPr>
                <w:rFonts w:ascii="Calibri" w:hAnsi="Calibri"/>
                <w:sz w:val="22"/>
              </w:rPr>
              <w:t>N/A</w:t>
            </w:r>
          </w:p>
        </w:tc>
        <w:tc>
          <w:tcPr>
            <w:tcW w:type="dxa" w:w="1728"/>
          </w:tcPr>
          <w:p>
            <w:r>
              <w:rPr>
                <w:rFonts w:ascii="Calibri" w:hAnsi="Calibri"/>
                <w:sz w:val="22"/>
              </w:rPr>
              <w:t>↑ Tone significantly more bullish at Wells Fargo Jun 9; 2027 demand conviction described as "exponentially higher" than 2 months ago</w:t>
            </w:r>
          </w:p>
        </w:tc>
      </w:tr>
    </w:tbl>
    <w:p>
      <w:r>
        <w:rPr>
          <w:rFonts w:ascii="Calibri" w:hAnsi="Calibri"/>
          <w:i/>
          <w:color w:val="525866"/>
          <w:sz w:val="22"/>
        </w:rPr>
        <w:t>Source: CARR Q1 2026 Earnings Call (April 30, 2026); Wolfe Research Global Transportation &amp; Industrials Conference (May 19, 2026); Wells Fargo 16th Annual Global Industrials &amp; Materials Conference (June 9, 2026); Visible Alpha Consensus Data.</w:t>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been </w:t>
      </w:r>
      <w:r>
        <w:rPr>
          <w:rFonts w:ascii="Calibri" w:hAnsi="Calibri"/>
          <w:b/>
          <w:color w:val="525866"/>
          <w:sz w:val="22"/>
        </w:rPr>
        <w:t>essentially flat since Q1 earnings</w:t>
      </w:r>
      <w:r>
        <w:rPr>
          <w:rFonts w:ascii="Calibri" w:hAnsi="Calibri"/>
          <w:color w:val="525866"/>
          <w:sz w:val="22"/>
        </w:rPr>
        <w:t xml:space="preserve"> — the street absorbed the Q1 beat and conference commentary without chasing numbers higher, leaving consensus very close to the guidance midpoint and creating a </w:t>
      </w:r>
      <w:r>
        <w:rPr>
          <w:rFonts w:ascii="Calibri" w:hAnsi="Calibri"/>
          <w:b/>
          <w:color w:val="525866"/>
          <w:sz w:val="22"/>
        </w:rPr>
        <w:t>modest cushion rather than a stretched bar</w:t>
      </w:r>
      <w:r>
        <w:rPr>
          <w:rFonts w:ascii="Calibri" w:hAnsi="Calibri"/>
          <w:color w:val="525866"/>
          <w:sz w:val="22"/>
        </w:rPr>
        <w:t>; the FY 2026 EPS consensus of $2.806 sits just above the $2.80 guidance, suggesting the market is pricing in a slight beat but not a blowout.</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(May 7, 2026 — 5 days post Q1 print)</w:t>
            </w:r>
          </w:p>
        </w:tc>
        <w:tc>
          <w:tcPr>
            <w:tcW w:type="dxa" w:w="1080"/>
            <w:shd w:val="clear" w:color="auto" w:fill="3B4259"/>
          </w:tcPr>
          <w:p>
            <w:r>
              <w:rPr>
                <w:rFonts w:ascii="Calibri" w:hAnsi="Calibri"/>
                <w:b/>
                <w:color w:val="FFFFFF"/>
                <w:sz w:val="22"/>
              </w:rPr>
              <w:t>Current Consensus (Jul 27,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Earnings, Apr 30)</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Revenue — Q2 2026</w:t>
            </w:r>
          </w:p>
        </w:tc>
        <w:tc>
          <w:tcPr>
            <w:tcW w:type="dxa" w:w="1080"/>
          </w:tcPr>
          <w:p>
            <w:r>
              <w:rPr>
                <w:rFonts w:ascii="Calibri" w:hAnsi="Calibri"/>
                <w:sz w:val="22"/>
              </w:rPr>
              <w:t>$5.996B</w:t>
            </w:r>
          </w:p>
        </w:tc>
        <w:tc>
          <w:tcPr>
            <w:tcW w:type="dxa" w:w="1080"/>
          </w:tcPr>
          <w:p>
            <w:r>
              <w:rPr>
                <w:rFonts w:ascii="Calibri" w:hAnsi="Calibri"/>
                <w:sz w:val="22"/>
              </w:rPr>
              <w:t>$6.014B</w:t>
            </w:r>
          </w:p>
        </w:tc>
        <w:tc>
          <w:tcPr>
            <w:tcW w:type="dxa" w:w="1080"/>
          </w:tcPr>
          <w:p>
            <w:r>
              <w:rPr>
                <w:rFonts w:ascii="Calibri" w:hAnsi="Calibri"/>
                <w:sz w:val="22"/>
              </w:rPr>
              <w:t>+0.3%</w:t>
            </w:r>
          </w:p>
        </w:tc>
        <w:tc>
          <w:tcPr>
            <w:tcW w:type="dxa" w:w="1080"/>
          </w:tcPr>
          <w:p>
            <w:r>
              <w:rPr>
                <w:rFonts w:ascii="Calibri" w:hAnsi="Calibri"/>
                <w:sz w:val="22"/>
              </w:rPr>
              <w:t>Just below $6.0B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+0.2% above midpoint</w:t>
            </w:r>
          </w:p>
        </w:tc>
      </w:tr>
      <w:tr>
        <w:tc>
          <w:tcPr>
            <w:tcW w:type="dxa" w:w="1080"/>
          </w:tcPr>
          <w:p>
            <w:r>
              <w:rPr>
                <w:rFonts w:ascii="Calibri" w:hAnsi="Calibri"/>
                <w:sz w:val="22"/>
              </w:rPr>
              <w:t>Adj. EPS — Q2 2026</w:t>
            </w:r>
          </w:p>
        </w:tc>
        <w:tc>
          <w:tcPr>
            <w:tcW w:type="dxa" w:w="1080"/>
          </w:tcPr>
          <w:p>
            <w:r>
              <w:rPr>
                <w:rFonts w:ascii="Calibri" w:hAnsi="Calibri"/>
                <w:sz w:val="22"/>
              </w:rPr>
              <w:t>$0.801</w:t>
            </w:r>
          </w:p>
        </w:tc>
        <w:tc>
          <w:tcPr>
            <w:tcW w:type="dxa" w:w="1080"/>
          </w:tcPr>
          <w:p>
            <w:r>
              <w:rPr>
                <w:rFonts w:ascii="Calibri" w:hAnsi="Calibri"/>
                <w:sz w:val="22"/>
              </w:rPr>
              <w:t>$0.806</w:t>
            </w:r>
          </w:p>
        </w:tc>
        <w:tc>
          <w:tcPr>
            <w:tcW w:type="dxa" w:w="1080"/>
          </w:tcPr>
          <w:p>
            <w:r>
              <w:rPr>
                <w:rFonts w:ascii="Calibri" w:hAnsi="Calibri"/>
                <w:sz w:val="22"/>
              </w:rPr>
              <w:t>+0.6%</w:t>
            </w:r>
          </w:p>
        </w:tc>
        <w:tc>
          <w:tcPr>
            <w:tcW w:type="dxa" w:w="1080"/>
          </w:tcPr>
          <w:p>
            <w:r>
              <w:rPr>
                <w:rFonts w:ascii="Calibri" w:hAnsi="Calibri"/>
                <w:sz w:val="22"/>
              </w:rPr>
              <w:t>~$0.80</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+0.8% above guidance</w:t>
            </w:r>
          </w:p>
        </w:tc>
      </w:tr>
      <w:tr>
        <w:tc>
          <w:tcPr>
            <w:tcW w:type="dxa" w:w="1080"/>
          </w:tcPr>
          <w:p>
            <w:r>
              <w:rPr>
                <w:rFonts w:ascii="Calibri" w:hAnsi="Calibri"/>
                <w:sz w:val="22"/>
              </w:rPr>
              <w:t>Adj. Operating Income — Q2 2026</w:t>
            </w:r>
          </w:p>
        </w:tc>
        <w:tc>
          <w:tcPr>
            <w:tcW w:type="dxa" w:w="1080"/>
          </w:tcPr>
          <w:p>
            <w:r>
              <w:rPr>
                <w:rFonts w:ascii="Calibri" w:hAnsi="Calibri"/>
                <w:sz w:val="22"/>
              </w:rPr>
              <w:t>$1.035B</w:t>
            </w:r>
          </w:p>
        </w:tc>
        <w:tc>
          <w:tcPr>
            <w:tcW w:type="dxa" w:w="1080"/>
          </w:tcPr>
          <w:p>
            <w:r>
              <w:rPr>
                <w:rFonts w:ascii="Calibri" w:hAnsi="Calibri"/>
                <w:sz w:val="22"/>
              </w:rPr>
              <w:t>$1.040B</w:t>
            </w:r>
          </w:p>
        </w:tc>
        <w:tc>
          <w:tcPr>
            <w:tcW w:type="dxa" w:w="1080"/>
          </w:tcPr>
          <w:p>
            <w:r>
              <w:rPr>
                <w:rFonts w:ascii="Calibri" w:hAnsi="Calibri"/>
                <w:sz w:val="22"/>
              </w:rPr>
              <w:t>+0.5%</w:t>
            </w:r>
          </w:p>
        </w:tc>
        <w:tc>
          <w:tcPr>
            <w:tcW w:type="dxa" w:w="1080"/>
          </w:tcPr>
          <w:p>
            <w:r>
              <w:rPr>
                <w:rFonts w:ascii="Calibri" w:hAnsi="Calibri"/>
                <w:sz w:val="22"/>
              </w:rPr>
              <w:t>~$1.020B (17% of ~$6B)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+2.0% above implied guidance</w:t>
            </w:r>
          </w:p>
        </w:tc>
      </w:tr>
      <w:tr>
        <w:tc>
          <w:tcPr>
            <w:tcW w:type="dxa" w:w="1080"/>
          </w:tcPr>
          <w:p>
            <w:r>
              <w:rPr>
                <w:rFonts w:ascii="Calibri" w:hAnsi="Calibri"/>
                <w:sz w:val="22"/>
              </w:rPr>
              <w:t>FCF — Q2 2026</w:t>
            </w:r>
          </w:p>
        </w:tc>
        <w:tc>
          <w:tcPr>
            <w:tcW w:type="dxa" w:w="1080"/>
          </w:tcPr>
          <w:p>
            <w:r>
              <w:rPr>
                <w:rFonts w:ascii="Calibri" w:hAnsi="Calibri"/>
                <w:sz w:val="22"/>
              </w:rPr>
              <w:t>$0.412B</w:t>
            </w:r>
          </w:p>
        </w:tc>
        <w:tc>
          <w:tcPr>
            <w:tcW w:type="dxa" w:w="1080"/>
          </w:tcPr>
          <w:p>
            <w:r>
              <w:rPr>
                <w:rFonts w:ascii="Calibri" w:hAnsi="Calibri"/>
                <w:sz w:val="22"/>
              </w:rPr>
              <w:t>$0.391B</w:t>
            </w:r>
          </w:p>
        </w:tc>
        <w:tc>
          <w:tcPr>
            <w:tcW w:type="dxa" w:w="1080"/>
          </w:tcPr>
          <w:p>
            <w:r>
              <w:rPr>
                <w:rFonts w:ascii="Calibri" w:hAnsi="Calibri"/>
                <w:sz w:val="22"/>
              </w:rPr>
              <w:t>-5.1%</w:t>
            </w:r>
          </w:p>
        </w:tc>
        <w:tc>
          <w:tcPr>
            <w:tcW w:type="dxa" w:w="1080"/>
          </w:tcPr>
          <w:p>
            <w:r>
              <w:rPr>
                <w:rFonts w:ascii="Calibri" w:hAnsi="Calibri"/>
                <w:sz w:val="22"/>
              </w:rPr>
              <w:t>Few hundred million</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Within guidance range</w:t>
            </w:r>
          </w:p>
        </w:tc>
      </w:tr>
      <w:tr>
        <w:tc>
          <w:tcPr>
            <w:tcW w:type="dxa" w:w="1080"/>
          </w:tcPr>
          <w:p>
            <w:r>
              <w:rPr>
                <w:rFonts w:ascii="Calibri" w:hAnsi="Calibri"/>
                <w:sz w:val="22"/>
              </w:rPr>
              <w:t>Revenue — FY 2026</w:t>
            </w:r>
          </w:p>
        </w:tc>
        <w:tc>
          <w:tcPr>
            <w:tcW w:type="dxa" w:w="1080"/>
          </w:tcPr>
          <w:p>
            <w:r>
              <w:rPr>
                <w:rFonts w:ascii="Calibri" w:hAnsi="Calibri"/>
                <w:sz w:val="22"/>
              </w:rPr>
              <w:t>$22.303B</w:t>
            </w:r>
          </w:p>
        </w:tc>
        <w:tc>
          <w:tcPr>
            <w:tcW w:type="dxa" w:w="1080"/>
          </w:tcPr>
          <w:p>
            <w:r>
              <w:rPr>
                <w:rFonts w:ascii="Calibri" w:hAnsi="Calibri"/>
                <w:sz w:val="22"/>
              </w:rPr>
              <w:t>$22.311B</w:t>
            </w:r>
          </w:p>
        </w:tc>
        <w:tc>
          <w:tcPr>
            <w:tcW w:type="dxa" w:w="1080"/>
          </w:tcPr>
          <w:p>
            <w:r>
              <w:rPr>
                <w:rFonts w:ascii="Calibri" w:hAnsi="Calibri"/>
                <w:sz w:val="22"/>
              </w:rPr>
              <w:t>+0.0%</w:t>
            </w:r>
          </w:p>
        </w:tc>
        <w:tc>
          <w:tcPr>
            <w:tcW w:type="dxa" w:w="1080"/>
          </w:tcPr>
          <w:p>
            <w:r>
              <w:rPr>
                <w:rFonts w:ascii="Calibri" w:hAnsi="Calibri"/>
                <w:sz w:val="22"/>
              </w:rPr>
              <w:t>~$22B</w:t>
            </w:r>
          </w:p>
        </w:tc>
        <w:tc>
          <w:tcPr>
            <w:tcW w:type="dxa" w:w="1080"/>
          </w:tcPr>
          <w:p>
            <w:r>
              <w:rPr>
                <w:rFonts w:ascii="Calibri" w:hAnsi="Calibri"/>
                <w:sz w:val="22"/>
              </w:rPr>
              <w:t>Unchanged (~$22B)</w:t>
            </w:r>
          </w:p>
        </w:tc>
        <w:tc>
          <w:tcPr>
            <w:tcW w:type="dxa" w:w="1080"/>
          </w:tcPr>
          <w:p>
            <w:r>
              <w:rPr>
                <w:rFonts w:ascii="Calibri" w:hAnsi="Calibri"/>
                <w:sz w:val="22"/>
              </w:rPr>
              <w:t>—</w:t>
            </w:r>
          </w:p>
        </w:tc>
        <w:tc>
          <w:tcPr>
            <w:tcW w:type="dxa" w:w="1080"/>
          </w:tcPr>
          <w:p>
            <w:r>
              <w:rPr>
                <w:rFonts w:ascii="Calibri" w:hAnsi="Calibri"/>
                <w:sz w:val="22"/>
              </w:rPr>
              <w:t>+1.4% above midpoint</w:t>
            </w:r>
          </w:p>
        </w:tc>
      </w:tr>
      <w:tr>
        <w:tc>
          <w:tcPr>
            <w:tcW w:type="dxa" w:w="1080"/>
          </w:tcPr>
          <w:p>
            <w:r>
              <w:rPr>
                <w:rFonts w:ascii="Calibri" w:hAnsi="Calibri"/>
                <w:sz w:val="22"/>
              </w:rPr>
              <w:t>Adj. EPS — FY 2026</w:t>
            </w:r>
          </w:p>
        </w:tc>
        <w:tc>
          <w:tcPr>
            <w:tcW w:type="dxa" w:w="1080"/>
          </w:tcPr>
          <w:p>
            <w:r>
              <w:rPr>
                <w:rFonts w:ascii="Calibri" w:hAnsi="Calibri"/>
                <w:sz w:val="22"/>
              </w:rPr>
              <w:t>$2.807</w:t>
            </w:r>
          </w:p>
        </w:tc>
        <w:tc>
          <w:tcPr>
            <w:tcW w:type="dxa" w:w="1080"/>
          </w:tcPr>
          <w:p>
            <w:r>
              <w:rPr>
                <w:rFonts w:ascii="Calibri" w:hAnsi="Calibri"/>
                <w:sz w:val="22"/>
              </w:rPr>
              <w:t>$2.806</w:t>
            </w:r>
          </w:p>
        </w:tc>
        <w:tc>
          <w:tcPr>
            <w:tcW w:type="dxa" w:w="1080"/>
          </w:tcPr>
          <w:p>
            <w:r>
              <w:rPr>
                <w:rFonts w:ascii="Calibri" w:hAnsi="Calibri"/>
                <w:sz w:val="22"/>
              </w:rPr>
              <w:t>-0.0%</w:t>
            </w:r>
          </w:p>
        </w:tc>
        <w:tc>
          <w:tcPr>
            <w:tcW w:type="dxa" w:w="1080"/>
          </w:tcPr>
          <w:p>
            <w:r>
              <w:rPr>
                <w:rFonts w:ascii="Calibri" w:hAnsi="Calibri"/>
                <w:sz w:val="22"/>
              </w:rPr>
              <w:t>~$2.80</w:t>
            </w:r>
          </w:p>
        </w:tc>
        <w:tc>
          <w:tcPr>
            <w:tcW w:type="dxa" w:w="1080"/>
          </w:tcPr>
          <w:p>
            <w:r>
              <w:rPr>
                <w:rFonts w:ascii="Calibri" w:hAnsi="Calibri"/>
                <w:sz w:val="22"/>
              </w:rPr>
              <w:t>Unchanged (~$2.80)</w:t>
            </w:r>
          </w:p>
        </w:tc>
        <w:tc>
          <w:tcPr>
            <w:tcW w:type="dxa" w:w="1080"/>
          </w:tcPr>
          <w:p>
            <w:r>
              <w:rPr>
                <w:rFonts w:ascii="Calibri" w:hAnsi="Calibri"/>
                <w:sz w:val="22"/>
              </w:rPr>
              <w:t>—</w:t>
            </w:r>
          </w:p>
        </w:tc>
        <w:tc>
          <w:tcPr>
            <w:tcW w:type="dxa" w:w="1080"/>
          </w:tcPr>
          <w:p>
            <w:r>
              <w:rPr>
                <w:rFonts w:ascii="Calibri" w:hAnsi="Calibri"/>
                <w:sz w:val="22"/>
              </w:rPr>
              <w:t>+0.2% above guidance</w:t>
            </w:r>
          </w:p>
        </w:tc>
      </w:tr>
      <w:tr>
        <w:tc>
          <w:tcPr>
            <w:tcW w:type="dxa" w:w="1080"/>
          </w:tcPr>
          <w:p>
            <w:r>
              <w:rPr>
                <w:rFonts w:ascii="Calibri" w:hAnsi="Calibri"/>
                <w:sz w:val="22"/>
              </w:rPr>
              <w:t>Adj. Operating Income — FY 2026</w:t>
            </w:r>
          </w:p>
        </w:tc>
        <w:tc>
          <w:tcPr>
            <w:tcW w:type="dxa" w:w="1080"/>
          </w:tcPr>
          <w:p>
            <w:r>
              <w:rPr>
                <w:rFonts w:ascii="Calibri" w:hAnsi="Calibri"/>
                <w:sz w:val="22"/>
              </w:rPr>
              <w:t>$3.430B</w:t>
            </w:r>
          </w:p>
        </w:tc>
        <w:tc>
          <w:tcPr>
            <w:tcW w:type="dxa" w:w="1080"/>
          </w:tcPr>
          <w:p>
            <w:r>
              <w:rPr>
                <w:rFonts w:ascii="Calibri" w:hAnsi="Calibri"/>
                <w:sz w:val="22"/>
              </w:rPr>
              <w:t>$3.432B</w:t>
            </w:r>
          </w:p>
        </w:tc>
        <w:tc>
          <w:tcPr>
            <w:tcW w:type="dxa" w:w="1080"/>
          </w:tcPr>
          <w:p>
            <w:r>
              <w:rPr>
                <w:rFonts w:ascii="Calibri" w:hAnsi="Calibri"/>
                <w:sz w:val="22"/>
              </w:rPr>
              <w:t>+0.1%</w:t>
            </w:r>
          </w:p>
        </w:tc>
        <w:tc>
          <w:tcPr>
            <w:tcW w:type="dxa" w:w="1080"/>
          </w:tcPr>
          <w:p>
            <w:r>
              <w:rPr>
                <w:rFonts w:ascii="Calibri" w:hAnsi="Calibri"/>
                <w:sz w:val="22"/>
              </w:rPr>
              <w:t>~$3.4B</w:t>
            </w:r>
          </w:p>
        </w:tc>
        <w:tc>
          <w:tcPr>
            <w:tcW w:type="dxa" w:w="1080"/>
          </w:tcPr>
          <w:p>
            <w:r>
              <w:rPr>
                <w:rFonts w:ascii="Calibri" w:hAnsi="Calibri"/>
                <w:sz w:val="22"/>
              </w:rPr>
              <w:t>Unchanged (~$3.4B)</w:t>
            </w:r>
          </w:p>
        </w:tc>
        <w:tc>
          <w:tcPr>
            <w:tcW w:type="dxa" w:w="1080"/>
          </w:tcPr>
          <w:p>
            <w:r>
              <w:rPr>
                <w:rFonts w:ascii="Calibri" w:hAnsi="Calibri"/>
                <w:sz w:val="22"/>
              </w:rPr>
              <w:t>—</w:t>
            </w:r>
          </w:p>
        </w:tc>
        <w:tc>
          <w:tcPr>
            <w:tcW w:type="dxa" w:w="1080"/>
          </w:tcPr>
          <w:p>
            <w:r>
              <w:rPr>
                <w:rFonts w:ascii="Calibri" w:hAnsi="Calibri"/>
                <w:sz w:val="22"/>
              </w:rPr>
              <w:t>+0.9% above guidance</w:t>
            </w:r>
          </w:p>
        </w:tc>
      </w:tr>
      <w:tr>
        <w:tc>
          <w:tcPr>
            <w:tcW w:type="dxa" w:w="1080"/>
          </w:tcPr>
          <w:p>
            <w:r>
              <w:rPr>
                <w:rFonts w:ascii="Calibri" w:hAnsi="Calibri"/>
                <w:sz w:val="22"/>
              </w:rPr>
              <w:t>FCF — FY 2026</w:t>
            </w:r>
          </w:p>
        </w:tc>
        <w:tc>
          <w:tcPr>
            <w:tcW w:type="dxa" w:w="1080"/>
          </w:tcPr>
          <w:p>
            <w:r>
              <w:rPr>
                <w:rFonts w:ascii="Calibri" w:hAnsi="Calibri"/>
                <w:sz w:val="22"/>
              </w:rPr>
              <w:t>$2.095B</w:t>
            </w:r>
          </w:p>
        </w:tc>
        <w:tc>
          <w:tcPr>
            <w:tcW w:type="dxa" w:w="1080"/>
          </w:tcPr>
          <w:p>
            <w:r>
              <w:rPr>
                <w:rFonts w:ascii="Calibri" w:hAnsi="Calibri"/>
                <w:sz w:val="22"/>
              </w:rPr>
              <w:t>$2.098B</w:t>
            </w:r>
          </w:p>
        </w:tc>
        <w:tc>
          <w:tcPr>
            <w:tcW w:type="dxa" w:w="1080"/>
          </w:tcPr>
          <w:p>
            <w:r>
              <w:rPr>
                <w:rFonts w:ascii="Calibri" w:hAnsi="Calibri"/>
                <w:sz w:val="22"/>
              </w:rPr>
              <w:t>+0.1%</w:t>
            </w:r>
          </w:p>
        </w:tc>
        <w:tc>
          <w:tcPr>
            <w:tcW w:type="dxa" w:w="1080"/>
          </w:tcPr>
          <w:p>
            <w:r>
              <w:rPr>
                <w:rFonts w:ascii="Calibri" w:hAnsi="Calibri"/>
                <w:sz w:val="22"/>
              </w:rPr>
              <w:t>~$2.0B</w:t>
            </w:r>
          </w:p>
        </w:tc>
        <w:tc>
          <w:tcPr>
            <w:tcW w:type="dxa" w:w="1080"/>
          </w:tcPr>
          <w:p>
            <w:r>
              <w:rPr>
                <w:rFonts w:ascii="Calibri" w:hAnsi="Calibri"/>
                <w:sz w:val="22"/>
              </w:rPr>
              <w:t>Unchanged (~$2.0B)</w:t>
            </w:r>
          </w:p>
        </w:tc>
        <w:tc>
          <w:tcPr>
            <w:tcW w:type="dxa" w:w="1080"/>
          </w:tcPr>
          <w:p>
            <w:r>
              <w:rPr>
                <w:rFonts w:ascii="Calibri" w:hAnsi="Calibri"/>
                <w:sz w:val="22"/>
              </w:rPr>
              <w:t>—</w:t>
            </w:r>
          </w:p>
        </w:tc>
        <w:tc>
          <w:tcPr>
            <w:tcW w:type="dxa" w:w="1080"/>
          </w:tcPr>
          <w:p>
            <w:r>
              <w:rPr>
                <w:rFonts w:ascii="Calibri" w:hAnsi="Calibri"/>
                <w:sz w:val="22"/>
              </w:rPr>
              <w:t>+4.9% above guidance</w:t>
            </w:r>
          </w:p>
        </w:tc>
      </w:tr>
    </w:tbl>
    <w:p>
      <w:r>
        <w:rPr>
          <w:rFonts w:ascii="Calibri" w:hAnsi="Calibri"/>
          <w:color w:val="525866"/>
          <w:sz w:val="22"/>
        </w:rPr>
        <w:t>Estimates have barely moved since the Q1 print — the largest revision is FCF for Q2 (-5.1%), which is noise within the "few hundred million" guidance range. The near-zero revision delta across all KPIs suggests the street is anchored to guidance rather than extrapolating the Q1 beat, which is consistent with management's deliberate conservatism and the macro uncertainty caveat. The consensus vs. guidance gap is uniformly small and positive, implying the market expects a modest beat but is not pricing in an upside scenario.</w:t>
      </w:r>
    </w:p>
    <w:p>
      <w:r>
        <w:rPr>
          <w:rFonts w:ascii="Calibri" w:hAnsi="Calibri"/>
          <w:i/>
          <w:color w:val="525866"/>
          <w:sz w:val="22"/>
        </w:rPr>
        <w:t>Source: Visible Alpha Consensus and Actuals Data (as-of date: May 7, 2026 for baseline; July 27, 2026 for current).</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CARR has been essentially </w:t>
      </w:r>
      <w:r>
        <w:rPr>
          <w:rFonts w:ascii="Calibri" w:hAnsi="Calibri"/>
          <w:b/>
          <w:color w:val="525866"/>
          <w:sz w:val="22"/>
        </w:rPr>
        <w:t>flat since the Q1 earnings pop</w:t>
      </w:r>
      <w:r>
        <w:rPr>
          <w:rFonts w:ascii="Calibri" w:hAnsi="Calibri"/>
          <w:color w:val="525866"/>
          <w:sz w:val="22"/>
        </w:rPr>
        <w:t xml:space="preserve"> while the S&amp;P 500 has gained ~3% and peer TT has declined ~2%, suggesting the stock is neither pricing in a second consecutive beat nor pricing in a miss — the market appears to be in a </w:t>
      </w:r>
      <w:r>
        <w:rPr>
          <w:rFonts w:ascii="Calibri" w:hAnsi="Calibri"/>
          <w:b/>
          <w:color w:val="525866"/>
          <w:sz w:val="22"/>
        </w:rPr>
        <w:t>"show me" mode</w:t>
      </w:r>
      <w:r>
        <w:rPr>
          <w:rFonts w:ascii="Calibri" w:hAnsi="Calibri"/>
          <w:color w:val="525866"/>
          <w:sz w:val="22"/>
        </w:rPr>
        <w:t xml:space="preserve"> on data center execution and residential recovery.</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CARR vs. TT (Trane Technologies) vs. S&amp;P 500 (SPY) — Indexed to 100 at April 30, 2026 (Q1 2026 Earnings Date). Source: Yahoo Finance / Stock Price Data.</w:t>
      </w:r>
    </w:p>
    <w:p>
      <w:r>
        <w:rPr>
          <w:rFonts w:ascii="Calibri" w:hAnsi="Calibri"/>
          <w:color w:val="525866"/>
          <w:sz w:val="22"/>
        </w:rPr>
        <w:t xml:space="preserve">Since the Q1 2026 earnings date (April 30, 2026), CARR has been range-bound, trading between roughly $62 and $70, ending July 24 at $68.90 — essentially flat (+2.6%) vs. the base. The S&amp;P 500 (SPY) has outperformed, gaining ~2.8% over the same period, while TT has underperformed, declining ~2.3%. The stock's relative underperformance vs. the market despite a strong Q1 beat and bullish conference commentary reflects ongoing investor skepticism about the residential recovery timeline and the magnitude of the data center H2 ramp. </w:t>
      </w:r>
      <w:r>
        <w:rPr>
          <w:rFonts w:ascii="Calibri" w:hAnsi="Calibri"/>
          <w:b/>
          <w:color w:val="525866"/>
          <w:sz w:val="22"/>
        </w:rPr>
        <w:t>Material events</w:t>
      </w:r>
      <w:r>
        <w:rPr>
          <w:rFonts w:ascii="Calibri" w:hAnsi="Calibri"/>
          <w:color w:val="525866"/>
          <w:sz w:val="22"/>
        </w:rPr>
        <w:t xml:space="preserve"> during the period include: the Wolfe Research conference (May 19) where management confirmed Q2 tracking in-line; the Wells Fargo conference (June 9) where management disclosed the new manufacturing facility plans and upgraded residential outlook; and the Section 232 tariff reduction (June 8) from 25% to 15% on residential HVAC. The stock's muted reaction to these positive catalysts suggests the market is waiting for Q2 results to validate the execution story.</w:t>
      </w:r>
    </w:p>
    <w:p>
      <w:pPr>
        <w:pStyle w:val="Heading2"/>
      </w:pPr>
      <w:r>
        <w:rPr>
          <w:rFonts w:ascii="Calibri" w:hAnsi="Calibri"/>
          <w:b/>
          <w:color w:val="3B4259"/>
          <w:sz w:val="28"/>
        </w:rPr>
        <w:t>6. Peer Commentaries — Q2 2026 Read-Through (Last 60 Days)</w:t>
      </w:r>
    </w:p>
    <w:p>
      <w:r>
        <w:rPr>
          <w:rFonts w:ascii="Calibri" w:hAnsi="Calibri"/>
          <w:b/>
          <w:color w:val="525866"/>
          <w:sz w:val="22"/>
        </w:rPr>
        <w:t xml:space="preserve">Key Takeaway: </w:t>
      </w:r>
      <w:r>
        <w:rPr>
          <w:rFonts w:ascii="Calibri" w:hAnsi="Calibri"/>
          <w:color w:val="525866"/>
          <w:sz w:val="22"/>
        </w:rPr>
        <w:t xml:space="preserve">Peer commentary since Q1 earnings is </w:t>
      </w:r>
      <w:r>
        <w:rPr>
          <w:rFonts w:ascii="Calibri" w:hAnsi="Calibri"/>
          <w:b/>
          <w:color w:val="525866"/>
          <w:sz w:val="22"/>
        </w:rPr>
        <w:t>broadly constructive for CARR's Q2 setup</w:t>
      </w:r>
      <w:r>
        <w:rPr>
          <w:rFonts w:ascii="Calibri" w:hAnsi="Calibri"/>
          <w:color w:val="525866"/>
          <w:sz w:val="22"/>
        </w:rPr>
        <w:t xml:space="preserve"> — TT, JCI, and AAON all raised guidance and reported record backlogs, data center demand is described as exceptional across the board, and residential destocking is confirmed complete by LII; the key CARR-specific read-through is that </w:t>
      </w:r>
      <w:r>
        <w:rPr>
          <w:rFonts w:ascii="Calibri" w:hAnsi="Calibri"/>
          <w:b/>
          <w:color w:val="525866"/>
          <w:sz w:val="22"/>
        </w:rPr>
        <w:t>the commercial HVAC and data center demand environment is as strong as management has indicated</w:t>
      </w:r>
      <w:r>
        <w:rPr>
          <w:rFonts w:ascii="Calibri" w:hAnsi="Calibri"/>
          <w:color w:val="525866"/>
          <w:sz w:val="22"/>
        </w:rPr>
        <w:t>, while residential is stabilizing faster than feared.</w:t>
      </w:r>
    </w:p>
    <w:p>
      <w:r>
        <w:rPr>
          <w:rFonts w:ascii="Calibri" w:hAnsi="Calibri"/>
          <w:i/>
          <w:color w:val="525866"/>
          <w:sz w:val="22"/>
        </w:rPr>
        <w:t>The following commentary is sourced from HVAC/building products peers reporting or presenting between May 1 and July 27, 2026, covering their current-quarter (Q2 2026 or equivalent) outlook and business conditions. Only forward-looking commentary about Q2 2026 conditions is included.</w:t>
      </w:r>
    </w:p>
    <w:p>
      <w:pPr>
        <w:pStyle w:val="Heading3"/>
      </w:pPr>
      <w:r>
        <w:rPr>
          <w:rFonts w:ascii="Calibri" w:hAnsi="Calibri"/>
          <w:b/>
          <w:color w:val="3B4259"/>
          <w:sz w:val="24"/>
        </w:rPr>
        <w:t>Data Center Cooling — Demand Remains Exceptional</w:t>
      </w:r>
    </w:p>
    <w:p>
      <w:pPr>
        <w:pStyle w:val="ListBullet"/>
        <w:ind w:left="360" w:hanging="360"/>
      </w:pPr>
      <w:r>
        <w:rPr>
          <w:rFonts w:ascii="Calibri" w:hAnsi="Calibri"/>
          <w:b/>
          <w:color w:val="525866"/>
          <w:sz w:val="22"/>
        </w:rPr>
        <w:t xml:space="preserve">Trane Technologies (TT) — Wolfe Research Conference (May 20) &amp; BofA Conference (May 13): </w:t>
      </w:r>
      <w:r>
        <w:rPr>
          <w:rFonts w:ascii="Calibri" w:hAnsi="Calibri"/>
          <w:color w:val="525866"/>
          <w:sz w:val="22"/>
        </w:rPr>
        <w:t xml:space="preserve">Applied HVAC bookings have been "up over 100% for 3 quarters in a row," driven by "very strong" data center demand. TT raised its full-year guide to 7% revenue growth and EPS growth of 13–15%, with "strong acceleration into the second half" led by commercial HVAC. The Stellar acquisition (liquid cooling) has a $1B backlog, half shipping this year, with management projecting $1B in revenue within 2–3 years. </w:t>
      </w:r>
      <w:r>
        <w:rPr>
          <w:rFonts w:ascii="Calibri" w:hAnsi="Calibri"/>
          <w:b/>
          <w:color w:val="525866"/>
          <w:sz w:val="22"/>
        </w:rPr>
        <w:t xml:space="preserve">Read-through for CARR: </w:t>
      </w:r>
      <w:r>
        <w:rPr>
          <w:rFonts w:ascii="Calibri" w:hAnsi="Calibri"/>
          <w:color w:val="525866"/>
          <w:sz w:val="22"/>
        </w:rPr>
        <w:t>Validates CARR's $1.5B data center target and the H2 shipment ramp; TT's applied bookings trajectory is consistent with CARR's 500% Q1 order growth and backlog coverage.</w:t>
      </w:r>
    </w:p>
    <w:p>
      <w:pPr>
        <w:pStyle w:val="ListBullet"/>
        <w:ind w:left="360" w:hanging="360"/>
      </w:pPr>
      <w:r>
        <w:rPr>
          <w:rFonts w:ascii="Calibri" w:hAnsi="Calibri"/>
          <w:b/>
          <w:color w:val="525866"/>
          <w:sz w:val="22"/>
        </w:rPr>
        <w:t xml:space="preserve">Johnson Controls (JCI) — Q2 FY2026 Earnings (May 6) &amp; Gemba Day (June 1): </w:t>
      </w:r>
      <w:r>
        <w:rPr>
          <w:rFonts w:ascii="Calibri" w:hAnsi="Calibri"/>
          <w:color w:val="525866"/>
          <w:sz w:val="22"/>
        </w:rPr>
        <w:t xml:space="preserve">JCI called data centers "the greatest infrastructure build-out in human history" and reported Q2 data center orders up 30%, with a record $20B backlog. JCI projects data centers will grow from ~12% of revenue in 2025 to ~1/3 of the company within 5 years. North America expected to grow high single digits "starting now and probably accelerating into '27." </w:t>
      </w:r>
      <w:r>
        <w:rPr>
          <w:rFonts w:ascii="Calibri" w:hAnsi="Calibri"/>
          <w:b/>
          <w:color w:val="525866"/>
          <w:sz w:val="22"/>
        </w:rPr>
        <w:t xml:space="preserve">Read-through for CARR: </w:t>
      </w:r>
      <w:r>
        <w:rPr>
          <w:rFonts w:ascii="Calibri" w:hAnsi="Calibri"/>
          <w:color w:val="525866"/>
          <w:sz w:val="22"/>
        </w:rPr>
        <w:t>JCI's record backlog and accelerating data center order growth corroborate CARR's conviction that 2027 demand is "exponentially higher" than 2 months ago; JCI's BMS/controls strength is also a positive read-through for CARR's ALC (Automated Logic Controls) business.</w:t>
      </w:r>
    </w:p>
    <w:p>
      <w:pPr>
        <w:pStyle w:val="ListBullet"/>
        <w:ind w:left="360" w:hanging="360"/>
      </w:pPr>
      <w:r>
        <w:rPr>
          <w:rFonts w:ascii="Calibri" w:hAnsi="Calibri"/>
          <w:b/>
          <w:color w:val="525866"/>
          <w:sz w:val="22"/>
        </w:rPr>
        <w:t xml:space="preserve">AAON — Q1 2026 Earnings (May 7) &amp; William Blair Conference (June 2): </w:t>
      </w:r>
      <w:r>
        <w:rPr>
          <w:rFonts w:ascii="Calibri" w:hAnsi="Calibri"/>
          <w:color w:val="525866"/>
          <w:sz w:val="22"/>
        </w:rPr>
        <w:t xml:space="preserve">AAON raised its data center revenue outlook to $1B for the year; the BASX brand (data center focused) has "doubled last year, doubling this year, doubled the year before that." Book-to-bill for BASX was over 2x in Q1, with backlog up 160% YoY and 24% sequentially to a record $2.1B. AAON raised its 2026 sales growth forecast to 40–45%. </w:t>
      </w:r>
      <w:r>
        <w:rPr>
          <w:rFonts w:ascii="Calibri" w:hAnsi="Calibri"/>
          <w:b/>
          <w:color w:val="525866"/>
          <w:sz w:val="22"/>
        </w:rPr>
        <w:t xml:space="preserve">Read-through for CARR: </w:t>
      </w:r>
      <w:r>
        <w:rPr>
          <w:rFonts w:ascii="Calibri" w:hAnsi="Calibri"/>
          <w:color w:val="525866"/>
          <w:sz w:val="22"/>
        </w:rPr>
        <w:t>AAON's data center demand trajectory (book-to-bill &gt;2x, backlog doubling) is consistent with CARR's characterization of data center demand as the binding constraint being output, not orders.</w:t>
      </w:r>
    </w:p>
    <w:p>
      <w:pPr>
        <w:pStyle w:val="Heading3"/>
      </w:pPr>
      <w:r>
        <w:rPr>
          <w:rFonts w:ascii="Calibri" w:hAnsi="Calibri"/>
          <w:b/>
          <w:color w:val="3B4259"/>
          <w:sz w:val="24"/>
        </w:rPr>
        <w:t>Residential HVAC — Destocking Complete, Demand Stabilizing</w:t>
      </w:r>
    </w:p>
    <w:p>
      <w:pPr>
        <w:pStyle w:val="ListBullet"/>
        <w:ind w:left="360" w:hanging="360"/>
      </w:pPr>
      <w:r>
        <w:rPr>
          <w:rFonts w:ascii="Calibri" w:hAnsi="Calibri"/>
          <w:b/>
          <w:color w:val="525866"/>
          <w:sz w:val="22"/>
        </w:rPr>
        <w:t xml:space="preserve">Trane Technologies (TT) — Oppenheimer Conference (May 5): </w:t>
      </w:r>
      <w:r>
        <w:rPr>
          <w:rFonts w:ascii="Calibri" w:hAnsi="Calibri"/>
          <w:color w:val="525866"/>
          <w:sz w:val="22"/>
        </w:rPr>
        <w:t xml:space="preserve">Residential performed better than expected in Q1 ("down about mid-single digits" vs. guided down ~20%). TT raised its full-year residential guidance to "stay flattish for the year" and guided Q2 to be "about flattish." Channel inventory is now "in a good position" after taking ~1/3 of production days out in Q4 2025; TT has shifted to a "level load" production strategy for 2026. </w:t>
      </w:r>
      <w:r>
        <w:rPr>
          <w:rFonts w:ascii="Calibri" w:hAnsi="Calibri"/>
          <w:b/>
          <w:color w:val="525866"/>
          <w:sz w:val="22"/>
        </w:rPr>
        <w:t xml:space="preserve">Read-through for CARR: </w:t>
      </w:r>
      <w:r>
        <w:rPr>
          <w:rFonts w:ascii="Calibri" w:hAnsi="Calibri"/>
          <w:color w:val="525866"/>
          <w:sz w:val="22"/>
        </w:rPr>
        <w:t>TT's residential outperformance and inventory normalization is a direct positive read-through for CARR's resi business, which management confirmed is tracking better than the guided down ~15% for Q2.</w:t>
      </w:r>
    </w:p>
    <w:p>
      <w:pPr>
        <w:pStyle w:val="ListBullet"/>
        <w:ind w:left="360" w:hanging="360"/>
      </w:pPr>
      <w:r>
        <w:rPr>
          <w:rFonts w:ascii="Calibri" w:hAnsi="Calibri"/>
          <w:b/>
          <w:color w:val="525866"/>
          <w:sz w:val="22"/>
        </w:rPr>
        <w:t xml:space="preserve">Lennox International (LII) — Oppenheimer Conference (May 6) &amp; William Blair Conference (June 3): </w:t>
      </w:r>
      <w:r>
        <w:rPr>
          <w:rFonts w:ascii="Calibri" w:hAnsi="Calibri"/>
          <w:color w:val="525866"/>
          <w:sz w:val="22"/>
        </w:rPr>
        <w:t xml:space="preserve">LII stated destocking is "100% behind us" and that contractor confidence has returned, though "consumer confidence is not back." LII noted the residential HVAC industry has never had more than a 6-quarter decline and the current downturn is approaching that length — implying a cyclical floor is near. LII's commercial business "made more money than residential" for the first time in Q1. Pricing is "sticking just fine." Section 232 tariff changes put LII "back on a better competitive field" vs. Mexico-manufactured competitors. </w:t>
      </w:r>
      <w:r>
        <w:rPr>
          <w:rFonts w:ascii="Calibri" w:hAnsi="Calibri"/>
          <w:b/>
          <w:color w:val="525866"/>
          <w:sz w:val="22"/>
        </w:rPr>
        <w:t xml:space="preserve">Read-through for CARR: </w:t>
      </w:r>
      <w:r>
        <w:rPr>
          <w:rFonts w:ascii="Calibri" w:hAnsi="Calibri"/>
          <w:color w:val="525866"/>
          <w:sz w:val="22"/>
        </w:rPr>
        <w:t>LII's destocking confirmation and pricing stickiness are positive for CARR's resi margin recovery; the 6-quarter decline ceiling comment supports CARR management's view that 2027 is a recovery year.</w:t>
      </w:r>
    </w:p>
    <w:p>
      <w:pPr>
        <w:pStyle w:val="Heading3"/>
      </w:pPr>
      <w:r>
        <w:rPr>
          <w:rFonts w:ascii="Calibri" w:hAnsi="Calibri"/>
          <w:b/>
          <w:color w:val="3B4259"/>
          <w:sz w:val="24"/>
        </w:rPr>
        <w:t>Commercial HVAC — Broad-Based Recovery</w:t>
      </w:r>
    </w:p>
    <w:p>
      <w:pPr>
        <w:pStyle w:val="ListBullet"/>
        <w:ind w:left="360" w:hanging="360"/>
      </w:pPr>
      <w:r>
        <w:rPr>
          <w:rFonts w:ascii="Calibri" w:hAnsi="Calibri"/>
          <w:b/>
          <w:color w:val="525866"/>
          <w:sz w:val="22"/>
        </w:rPr>
        <w:t xml:space="preserve">Trane Technologies (TT) — Wolfe Research Conference (May 20): </w:t>
      </w:r>
      <w:r>
        <w:rPr>
          <w:rFonts w:ascii="Calibri" w:hAnsi="Calibri"/>
          <w:color w:val="525866"/>
          <w:sz w:val="22"/>
        </w:rPr>
        <w:t xml:space="preserve">Commercial HVAC bookings were up 40% in Q1, with strength across healthcare, higher education, high-tech industrial, and government. TT expects "mid-teens plus" organic growth in commercial in H2. </w:t>
      </w:r>
      <w:r>
        <w:rPr>
          <w:rFonts w:ascii="Calibri" w:hAnsi="Calibri"/>
          <w:b/>
          <w:color w:val="525866"/>
          <w:sz w:val="22"/>
        </w:rPr>
        <w:t xml:space="preserve">Read-through for CARR: </w:t>
      </w:r>
      <w:r>
        <w:rPr>
          <w:rFonts w:ascii="Calibri" w:hAnsi="Calibri"/>
          <w:color w:val="525866"/>
          <w:sz w:val="22"/>
        </w:rPr>
        <w:t>Validates CARR's non-data center commercial HVAC guidance of up low single digits for the year, with warehouse, higher education, and healthcare cited as positive verticals by both companies.</w:t>
      </w:r>
    </w:p>
    <w:p>
      <w:pPr>
        <w:pStyle w:val="ListBullet"/>
        <w:ind w:left="360" w:hanging="360"/>
      </w:pPr>
      <w:r>
        <w:rPr>
          <w:rFonts w:ascii="Calibri" w:hAnsi="Calibri"/>
          <w:b/>
          <w:color w:val="525866"/>
          <w:sz w:val="22"/>
        </w:rPr>
        <w:t xml:space="preserve">AAON — William Blair Conference (June 2): </w:t>
      </w:r>
      <w:r>
        <w:rPr>
          <w:rFonts w:ascii="Calibri" w:hAnsi="Calibri"/>
          <w:color w:val="525866"/>
          <w:sz w:val="22"/>
        </w:rPr>
        <w:t xml:space="preserve">AAON has "definitely seen signs of recovery inside the commercial HVAC market," with Q1 bookings reflecting an "acceleration in demand" in the traditional transactional business. AAON is seeing "outsized growth and market share acquisition" from its national account strategy across healthcare, big box retail, and warehouse/distribution. </w:t>
      </w:r>
      <w:r>
        <w:rPr>
          <w:rFonts w:ascii="Calibri" w:hAnsi="Calibri"/>
          <w:b/>
          <w:color w:val="525866"/>
          <w:sz w:val="22"/>
        </w:rPr>
        <w:t xml:space="preserve">Read-through for CARR: </w:t>
      </w:r>
      <w:r>
        <w:rPr>
          <w:rFonts w:ascii="Calibri" w:hAnsi="Calibri"/>
          <w:color w:val="525866"/>
          <w:sz w:val="22"/>
        </w:rPr>
        <w:t>Broad-based commercial HVAC recovery is consistent with CARR's light commercial outperformance in Q1 and management's expectation for continued commercial strength.</w:t>
      </w:r>
    </w:p>
    <w:p>
      <w:pPr>
        <w:pStyle w:val="ListBullet"/>
        <w:ind w:left="360" w:hanging="360"/>
      </w:pPr>
      <w:r>
        <w:rPr>
          <w:rFonts w:ascii="Calibri" w:hAnsi="Calibri"/>
          <w:b/>
          <w:color w:val="525866"/>
          <w:sz w:val="22"/>
        </w:rPr>
        <w:t xml:space="preserve">Johnson Controls (JCI) — Gemba Day (June 1): </w:t>
      </w:r>
      <w:r>
        <w:rPr>
          <w:rFonts w:ascii="Calibri" w:hAnsi="Calibri"/>
          <w:color w:val="525866"/>
          <w:sz w:val="22"/>
        </w:rPr>
        <w:t xml:space="preserve">JCI sees strong demand from biologics plants and hospital build-outs globally. North America expected to grow high single digits "starting now," while Europe will likely be "soft" in Q3–Q4 at very low single digits. JCI has a record $20B backlog. </w:t>
      </w:r>
      <w:r>
        <w:rPr>
          <w:rFonts w:ascii="Calibri" w:hAnsi="Calibri"/>
          <w:b/>
          <w:color w:val="525866"/>
          <w:sz w:val="22"/>
        </w:rPr>
        <w:t xml:space="preserve">Read-through for CARR: </w:t>
      </w:r>
      <w:r>
        <w:rPr>
          <w:rFonts w:ascii="Calibri" w:hAnsi="Calibri"/>
          <w:color w:val="525866"/>
          <w:sz w:val="22"/>
        </w:rPr>
        <w:t>JCI's North America commercial strength is a positive read-through for CARR's CSA commercial business; JCI's Europe softness is a mild caution for CARR's CSE segment, though CARR's RLC/heat pump exposure provides an offset.</w:t>
      </w:r>
    </w:p>
    <w:p>
      <w:pPr>
        <w:pStyle w:val="Heading3"/>
      </w:pPr>
      <w:r>
        <w:rPr>
          <w:rFonts w:ascii="Calibri" w:hAnsi="Calibri"/>
          <w:b/>
          <w:color w:val="3B4259"/>
          <w:sz w:val="24"/>
        </w:rPr>
        <w:t>Tariffs &amp; Pricing — Manageable, Pricing Sticking</w:t>
      </w:r>
    </w:p>
    <w:p>
      <w:pPr>
        <w:pStyle w:val="ListBullet"/>
        <w:ind w:left="360" w:hanging="360"/>
      </w:pPr>
      <w:r>
        <w:rPr>
          <w:rFonts w:ascii="Calibri" w:hAnsi="Calibri"/>
          <w:b/>
          <w:color w:val="525866"/>
          <w:sz w:val="22"/>
        </w:rPr>
        <w:t xml:space="preserve">Trane Technologies (TT) — Multiple Conferences (May 2026): </w:t>
      </w:r>
      <w:r>
        <w:rPr>
          <w:rFonts w:ascii="Calibri" w:hAnsi="Calibri"/>
          <w:color w:val="525866"/>
          <w:sz w:val="22"/>
        </w:rPr>
        <w:t xml:space="preserve">TT is guiding to "approaching 2 points of price" for the year. Over 95% of U.S. products are manufactured or assembled in the U.S., providing a natural tariff hedge. </w:t>
      </w:r>
      <w:r>
        <w:rPr>
          <w:rFonts w:ascii="Calibri" w:hAnsi="Calibri"/>
          <w:b/>
          <w:color w:val="525866"/>
          <w:sz w:val="22"/>
        </w:rPr>
        <w:t xml:space="preserve">Read-through for CARR: </w:t>
      </w:r>
      <w:r>
        <w:rPr>
          <w:rFonts w:ascii="Calibri" w:hAnsi="Calibri"/>
          <w:color w:val="525866"/>
          <w:sz w:val="22"/>
        </w:rPr>
        <w:t>TT's pricing success and domestic manufacturing advantage are consistent with CARR's ~2.5 pts net pricing target and dollar-for-dollar tariff offset commitment.</w:t>
      </w:r>
    </w:p>
    <w:p>
      <w:pPr>
        <w:pStyle w:val="ListBullet"/>
        <w:ind w:left="360" w:hanging="360"/>
      </w:pPr>
      <w:r>
        <w:rPr>
          <w:rFonts w:ascii="Calibri" w:hAnsi="Calibri"/>
          <w:b/>
          <w:color w:val="525866"/>
          <w:sz w:val="22"/>
        </w:rPr>
        <w:t xml:space="preserve">Lennox International (LII) — William Blair Conference (June 3): </w:t>
      </w:r>
      <w:r>
        <w:rPr>
          <w:rFonts w:ascii="Calibri" w:hAnsi="Calibri"/>
          <w:color w:val="525866"/>
          <w:sz w:val="22"/>
        </w:rPr>
        <w:t xml:space="preserve">LII views the Section 232 tariff reduction (25% to 15%) as a positive that puts it on a "better competitive field" vs. Mexico-manufactured competitors. Pricing is "sticking just fine." </w:t>
      </w:r>
      <w:r>
        <w:rPr>
          <w:rFonts w:ascii="Calibri" w:hAnsi="Calibri"/>
          <w:b/>
          <w:color w:val="525866"/>
          <w:sz w:val="22"/>
        </w:rPr>
        <w:t xml:space="preserve">Read-through for CARR: </w:t>
      </w:r>
      <w:r>
        <w:rPr>
          <w:rFonts w:ascii="Calibri" w:hAnsi="Calibri"/>
          <w:color w:val="525866"/>
          <w:sz w:val="22"/>
        </w:rPr>
        <w:t>LII's pricing stickiness and positive tariff read are consistent with CARR's revised ~2.5 pts net pricing guidance and management's constructive tone toward the administration.</w:t>
      </w:r>
    </w:p>
    <w:p>
      <w:pPr>
        <w:pStyle w:val="ListBullet"/>
        <w:ind w:left="360" w:hanging="360"/>
      </w:pPr>
      <w:r>
        <w:rPr>
          <w:rFonts w:ascii="Calibri" w:hAnsi="Calibri"/>
          <w:b/>
          <w:color w:val="525866"/>
          <w:sz w:val="22"/>
        </w:rPr>
        <w:t xml:space="preserve">AAON — Q1 2026 Earnings (May 7): </w:t>
      </w:r>
      <w:r>
        <w:rPr>
          <w:rFonts w:ascii="Calibri" w:hAnsi="Calibri"/>
          <w:color w:val="525866"/>
          <w:sz w:val="22"/>
        </w:rPr>
        <w:t xml:space="preserve">AAON acknowledged "tariff-related and general inflation pressures" in Q1 but has addressed them with pricing actions embedded in the backlog. Gross margin was impacted by outsourced components and Memphis facility ramp costs, described as "temporary." </w:t>
      </w:r>
      <w:r>
        <w:rPr>
          <w:rFonts w:ascii="Calibri" w:hAnsi="Calibri"/>
          <w:b/>
          <w:color w:val="525866"/>
          <w:sz w:val="22"/>
        </w:rPr>
        <w:t xml:space="preserve">Read-through for CARR: </w:t>
      </w:r>
      <w:r>
        <w:rPr>
          <w:rFonts w:ascii="Calibri" w:hAnsi="Calibri"/>
          <w:color w:val="525866"/>
          <w:sz w:val="22"/>
        </w:rPr>
        <w:t>AAON's experience of temporary margin pressure from tariffs and new capacity ramp is consistent with CARR's Q2 price-cost timing gap (tariffs effective April 6, pricing implemented end of April), which management expects to normalize in Q3.</w:t>
      </w:r>
    </w:p>
    <w:p>
      <w:pPr>
        <w:pStyle w:val="ListBullet"/>
        <w:ind w:left="360" w:hanging="360"/>
      </w:pPr>
      <w:r>
        <w:rPr>
          <w:rFonts w:ascii="Calibri" w:hAnsi="Calibri"/>
          <w:b/>
          <w:color w:val="525866"/>
          <w:sz w:val="22"/>
        </w:rPr>
        <w:t xml:space="preserve">Johnson Controls (JCI) — Wolfe Research Conference (May 20): </w:t>
      </w:r>
      <w:r>
        <w:rPr>
          <w:rFonts w:ascii="Calibri" w:hAnsi="Calibri"/>
          <w:color w:val="525866"/>
          <w:sz w:val="22"/>
        </w:rPr>
        <w:t xml:space="preserve">JCI noted that chillers are "not included in Section 232" and has not seen a material tariff impact. JCI drove margin improvement in the Americas through "price realization." </w:t>
      </w:r>
      <w:r>
        <w:rPr>
          <w:rFonts w:ascii="Calibri" w:hAnsi="Calibri"/>
          <w:b/>
          <w:color w:val="525866"/>
          <w:sz w:val="22"/>
        </w:rPr>
        <w:t xml:space="preserve">Read-through for CARR: </w:t>
      </w:r>
      <w:r>
        <w:rPr>
          <w:rFonts w:ascii="Calibri" w:hAnsi="Calibri"/>
          <w:color w:val="525866"/>
          <w:sz w:val="22"/>
        </w:rPr>
        <w:t>JCI's chiller tariff exemption is a mild positive read-through for CARR's data center chiller business, suggesting the commercial/data center side of CARR's portfolio faces less tariff headwind than the residential side.</w:t>
      </w:r>
    </w:p>
    <w:p>
      <w:pPr>
        <w:pStyle w:val="Heading3"/>
      </w:pPr>
      <w:r>
        <w:rPr>
          <w:rFonts w:ascii="Calibri" w:hAnsi="Calibri"/>
          <w:b/>
          <w:color w:val="3B4259"/>
          <w:sz w:val="24"/>
        </w:rPr>
        <w:t>Transport Refrigeration — Green Shoots Emerging</w:t>
      </w:r>
    </w:p>
    <w:p>
      <w:pPr>
        <w:pStyle w:val="ListBullet"/>
        <w:ind w:left="360" w:hanging="360"/>
      </w:pPr>
      <w:r>
        <w:rPr>
          <w:rFonts w:ascii="Calibri" w:hAnsi="Calibri"/>
          <w:b/>
          <w:color w:val="525866"/>
          <w:sz w:val="22"/>
        </w:rPr>
        <w:t xml:space="preserve">Trane Technologies (TT) / Thermo King — Multiple Conferences (May 2026): </w:t>
      </w:r>
      <w:r>
        <w:rPr>
          <w:rFonts w:ascii="Calibri" w:hAnsi="Calibri"/>
          <w:color w:val="525866"/>
          <w:sz w:val="22"/>
        </w:rPr>
        <w:t xml:space="preserve">TT describes the transport refrigeration market as being in "year 5 of a 2-year downturn" but is seeing "green shoots" — spot rates increasing, rejection rates rising, and fleet utilization increasing. Expects a stronger H2. </w:t>
      </w:r>
      <w:r>
        <w:rPr>
          <w:rFonts w:ascii="Calibri" w:hAnsi="Calibri"/>
          <w:b/>
          <w:color w:val="525866"/>
          <w:sz w:val="22"/>
        </w:rPr>
        <w:t xml:space="preserve">Read-through for CARR: </w:t>
      </w:r>
      <w:r>
        <w:rPr>
          <w:rFonts w:ascii="Calibri" w:hAnsi="Calibri"/>
          <w:color w:val="525866"/>
          <w:sz w:val="22"/>
        </w:rPr>
        <w:t>TT's Thermo King commentary is a direct read-through for CARR's CST (Climate Solutions Transportation) segment, which is guided down low single digits organic in Q2 but with margin expansion of ~50 bps for the full year. Green shoots in the broader transport refrigeration market support CARR's CST margin expansion thesis.</w:t>
      </w:r>
    </w:p>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management's </w:t>
      </w:r>
      <w:r>
        <w:rPr>
          <w:rFonts w:ascii="Calibri" w:hAnsi="Calibri"/>
          <w:b/>
          <w:color w:val="525866"/>
          <w:sz w:val="22"/>
        </w:rPr>
        <w:t>escalating conviction on data center demand for 2027–2029</w:t>
      </w:r>
      <w:r>
        <w:rPr>
          <w:rFonts w:ascii="Calibri" w:hAnsi="Calibri"/>
          <w:color w:val="525866"/>
          <w:sz w:val="22"/>
        </w:rPr>
        <w:t>, which has driven a new manufacturing facility announcement and CapEx increase — a signal that the data center growth story is becoming a multi-year structural commitment, not a cyclical trade.</w:t>
      </w:r>
    </w:p>
    <w:p>
      <w:pPr>
        <w:pStyle w:val="ListBullet"/>
        <w:ind w:left="360" w:hanging="360"/>
      </w:pPr>
      <w:r>
        <w:rPr>
          <w:rFonts w:ascii="Calibri" w:hAnsi="Calibri"/>
          <w:b/>
          <w:color w:val="525866"/>
          <w:sz w:val="22"/>
        </w:rPr>
        <w:t xml:space="preserve">June 9, 2026 — Wells Fargo Conference: New North American Manufacturing Facility Signaled. </w:t>
      </w:r>
      <w:r>
        <w:rPr>
          <w:rFonts w:ascii="Calibri" w:hAnsi="Calibri"/>
          <w:color w:val="525866"/>
          <w:sz w:val="22"/>
        </w:rPr>
        <w:t xml:space="preserve">CEO David Gitlin stated "don't be surprised to hear more from us" on a new U.S. data center manufacturing facility, with CapEx increasing from ~$500M to ~$600M. Management's conviction on 2027 data center demand described as "exponentially higher" than 2 months ago, driven by new order wins and LTA discussions with hyperscalers and colos through 2029–2030. </w:t>
      </w:r>
      <w:r>
        <w:rPr>
          <w:rFonts w:ascii="Calibri" w:hAnsi="Calibri"/>
          <w:b/>
          <w:color w:val="525866"/>
          <w:sz w:val="22"/>
        </w:rPr>
        <w:t xml:space="preserve">Implication: </w:t>
      </w:r>
      <w:r>
        <w:rPr>
          <w:rFonts w:ascii="Calibri" w:hAnsi="Calibri"/>
          <w:color w:val="525866"/>
          <w:sz w:val="22"/>
        </w:rPr>
        <w:t>Formal announcement likely at or after Q2 earnings; could be a positive catalyst if accompanied by LTA details.</w:t>
      </w:r>
    </w:p>
    <w:p>
      <w:pPr>
        <w:pStyle w:val="ListBullet"/>
        <w:ind w:left="360" w:hanging="360"/>
      </w:pPr>
      <w:r>
        <w:rPr>
          <w:rFonts w:ascii="Calibri" w:hAnsi="Calibri"/>
          <w:b/>
          <w:color w:val="525866"/>
          <w:sz w:val="22"/>
        </w:rPr>
        <w:t xml:space="preserve">June 8, 2026 — Section 232 Tariff Reduction: Residential HVAC Tariff Cut from 25% to 15%. </w:t>
      </w:r>
      <w:r>
        <w:rPr>
          <w:rFonts w:ascii="Calibri" w:hAnsi="Calibri"/>
          <w:color w:val="525866"/>
          <w:sz w:val="22"/>
        </w:rPr>
        <w:t xml:space="preserve">Presidential proclamation reduced the Section 232 tariff on residential HVAC from 25% to 15%, with a path to 10% for products with at least 85% U.S. steel content. CARR revised its full-year net pricing guidance modestly lower to ~2.5 pts (from ~3 pts) to reflect the tariff reduction, while maintaining its dollar-for-dollar cost offset commitment. </w:t>
      </w:r>
      <w:r>
        <w:rPr>
          <w:rFonts w:ascii="Calibri" w:hAnsi="Calibri"/>
          <w:b/>
          <w:color w:val="525866"/>
          <w:sz w:val="22"/>
        </w:rPr>
        <w:t xml:space="preserve">Implication: </w:t>
      </w:r>
      <w:r>
        <w:rPr>
          <w:rFonts w:ascii="Calibri" w:hAnsi="Calibri"/>
          <w:color w:val="525866"/>
          <w:sz w:val="22"/>
        </w:rPr>
        <w:t>Modest negative to pricing revenue but positive for competitive positioning vs. Mexico-manufactured peers; USMCA negotiations could provide further relief.</w:t>
      </w:r>
    </w:p>
    <w:p>
      <w:pPr>
        <w:pStyle w:val="ListBullet"/>
        <w:ind w:left="360" w:hanging="360"/>
      </w:pPr>
      <w:r>
        <w:rPr>
          <w:rFonts w:ascii="Calibri" w:hAnsi="Calibri"/>
          <w:b/>
          <w:color w:val="525866"/>
          <w:sz w:val="22"/>
        </w:rPr>
        <w:t xml:space="preserve">June 9, 2026 — Wells Fargo Conference: Residential Outlook Upgraded. </w:t>
      </w:r>
      <w:r>
        <w:rPr>
          <w:rFonts w:ascii="Calibri" w:hAnsi="Calibri"/>
          <w:color w:val="525866"/>
          <w:sz w:val="22"/>
        </w:rPr>
        <w:t xml:space="preserve">CEO Gitlin stated residential is tracking better than the guided down ~15% for Q2, and that the full-year industry unit count will "start with a 7" rather than the feared "6 million." April was "quite strong" and June "started fine." Management sees 2027 as a recovery year trending back toward 9 million units. </w:t>
      </w:r>
      <w:r>
        <w:rPr>
          <w:rFonts w:ascii="Calibri" w:hAnsi="Calibri"/>
          <w:b/>
          <w:color w:val="525866"/>
          <w:sz w:val="22"/>
        </w:rPr>
        <w:t xml:space="preserve">Implication: </w:t>
      </w:r>
      <w:r>
        <w:rPr>
          <w:rFonts w:ascii="Calibri" w:hAnsi="Calibri"/>
          <w:color w:val="525866"/>
          <w:sz w:val="22"/>
        </w:rPr>
        <w:t>Positive for Q2 CSA Americas revenue and margin; reduces the risk of a residential-driven miss.</w:t>
      </w:r>
    </w:p>
    <w:p>
      <w:pPr>
        <w:pStyle w:val="ListBullet"/>
        <w:ind w:left="360" w:hanging="360"/>
      </w:pPr>
      <w:r>
        <w:rPr>
          <w:rFonts w:ascii="Calibri" w:hAnsi="Calibri"/>
          <w:b/>
          <w:color w:val="525866"/>
          <w:sz w:val="22"/>
        </w:rPr>
        <w:t xml:space="preserve">June 9, 2026 — Wells Fargo Conference: Data Center Exit Rate Implies $2.5B Capacity for 2027. </w:t>
      </w:r>
      <w:r>
        <w:rPr>
          <w:rFonts w:ascii="Calibri" w:hAnsi="Calibri"/>
          <w:color w:val="525866"/>
          <w:sz w:val="22"/>
        </w:rPr>
        <w:t xml:space="preserve">Management disclosed that the exit rate from 2026 data center production would support $2.5B in data center revenue in 2027, and that current demand "exceeds that," necessitating the new facility. LTAs with hyperscalers and colos are being solidified to support investments through 2030. </w:t>
      </w:r>
      <w:r>
        <w:rPr>
          <w:rFonts w:ascii="Calibri" w:hAnsi="Calibri"/>
          <w:b/>
          <w:color w:val="525866"/>
          <w:sz w:val="22"/>
        </w:rPr>
        <w:t xml:space="preserve">Implication: </w:t>
      </w:r>
      <w:r>
        <w:rPr>
          <w:rFonts w:ascii="Calibri" w:hAnsi="Calibri"/>
          <w:color w:val="525866"/>
          <w:sz w:val="22"/>
        </w:rPr>
        <w:t>Significant positive for 2027 earnings setup; data center is becoming a multi-year structural growth driver with demand visibility extending well beyond the current year.</w:t>
      </w:r>
    </w:p>
    <w:p>
      <w:pPr>
        <w:pStyle w:val="ListBullet"/>
        <w:ind w:left="360" w:hanging="360"/>
      </w:pPr>
      <w:r>
        <w:rPr>
          <w:rFonts w:ascii="Calibri" w:hAnsi="Calibri"/>
          <w:b/>
          <w:color w:val="525866"/>
          <w:sz w:val="22"/>
        </w:rPr>
        <w:t xml:space="preserve">June 9, 2026 — CSC Europe Leadership Transition: Thomas Donato Joins as New President. </w:t>
      </w:r>
      <w:r>
        <w:rPr>
          <w:rFonts w:ascii="Calibri" w:hAnsi="Calibri"/>
          <w:color w:val="525866"/>
          <w:sz w:val="22"/>
        </w:rPr>
        <w:t xml:space="preserve">Thomas Donato (formerly ABB, Rockwell Automation ~17 years, Bosch Power Tools) replaced Thomas Heim as President of Climate Solutions Europe, effective June 9, 2026. Management credited Heim with successfully integrating Viessmann Climate Solutions. </w:t>
      </w:r>
      <w:r>
        <w:rPr>
          <w:rFonts w:ascii="Calibri" w:hAnsi="Calibri"/>
          <w:b/>
          <w:color w:val="525866"/>
          <w:sz w:val="22"/>
        </w:rPr>
        <w:t xml:space="preserve">Implication: </w:t>
      </w:r>
      <w:r>
        <w:rPr>
          <w:rFonts w:ascii="Calibri" w:hAnsi="Calibri"/>
          <w:color w:val="525866"/>
          <w:sz w:val="22"/>
        </w:rPr>
        <w:t>Leadership change at a critical juncture for CSE (heat pump recovery, margin expansion); Donato's industrial automation background could accelerate digital/controls integration.</w:t>
      </w:r>
    </w:p>
    <w:p>
      <w:pPr>
        <w:pStyle w:val="ListBullet"/>
        <w:ind w:left="360" w:hanging="360"/>
      </w:pPr>
      <w:r>
        <w:rPr>
          <w:rFonts w:ascii="Calibri" w:hAnsi="Calibri"/>
          <w:b/>
          <w:color w:val="525866"/>
          <w:sz w:val="22"/>
        </w:rPr>
        <w:t xml:space="preserve">May 19, 2026 — Wolfe Research Conference: Q2 Tracking In-Line, Data Center Orders Up 500% in Q1. </w:t>
      </w:r>
      <w:r>
        <w:rPr>
          <w:rFonts w:ascii="Calibri" w:hAnsi="Calibri"/>
          <w:color w:val="525866"/>
          <w:sz w:val="22"/>
        </w:rPr>
        <w:t xml:space="preserve">Management confirmed Q2 is tracking to guidance across all segments. Data center orders in Q1 were up 500% YoY and expected to be "good again" in Q2. CDU roadmap advancing: 2.6 MW unit coming in "a couple of quarters," 5 MW unit by end of 2026 or early 2027. </w:t>
      </w:r>
      <w:r>
        <w:rPr>
          <w:rFonts w:ascii="Calibri" w:hAnsi="Calibri"/>
          <w:b/>
          <w:color w:val="525866"/>
          <w:sz w:val="22"/>
        </w:rPr>
        <w:t xml:space="preserve">Implication: </w:t>
      </w:r>
      <w:r>
        <w:rPr>
          <w:rFonts w:ascii="Calibri" w:hAnsi="Calibri"/>
          <w:color w:val="525866"/>
          <w:sz w:val="22"/>
        </w:rPr>
        <w:t>Reduces Q2 earnings risk; CDU product pipeline expansion strengthens the liquid cooling competitive position.</w:t>
      </w:r>
    </w:p>
    <w:p>
      <w:pPr>
        <w:pStyle w:val="ListBullet"/>
        <w:ind w:left="360" w:hanging="360"/>
      </w:pPr>
      <w:r>
        <w:rPr>
          <w:rFonts w:ascii="Calibri" w:hAnsi="Calibri"/>
          <w:b/>
          <w:color w:val="525866"/>
          <w:sz w:val="22"/>
        </w:rPr>
        <w:t xml:space="preserve">July 24, 2026 — Board Appointment: Neil Barua Appointed as Independent Director. </w:t>
      </w:r>
      <w:r>
        <w:rPr>
          <w:rFonts w:ascii="Calibri" w:hAnsi="Calibri"/>
          <w:color w:val="525866"/>
          <w:sz w:val="22"/>
        </w:rPr>
        <w:t xml:space="preserve">Carrier Global appointed Neil Barua as an independent director, effective July 24, 2026. Barua is the CEO of PTC Inc., a leading industrial software company. </w:t>
      </w:r>
      <w:r>
        <w:rPr>
          <w:rFonts w:ascii="Calibri" w:hAnsi="Calibri"/>
          <w:b/>
          <w:color w:val="525866"/>
          <w:sz w:val="22"/>
        </w:rPr>
        <w:t xml:space="preserve">Implication: </w:t>
      </w:r>
      <w:r>
        <w:rPr>
          <w:rFonts w:ascii="Calibri" w:hAnsi="Calibri"/>
          <w:color w:val="525866"/>
          <w:sz w:val="22"/>
        </w:rPr>
        <w:t>Barua's industrial software/IoT expertise is strategically relevant to CARR's digital connectivity and aftermarket growth strategy; signals continued board-level focus on technology differentiation.</w:t>
      </w:r>
    </w:p>
    <w:p>
      <w:pPr>
        <w:pStyle w:val="ListBullet"/>
        <w:ind w:left="360" w:hanging="360"/>
      </w:pPr>
      <w:r>
        <w:rPr>
          <w:rFonts w:ascii="Calibri" w:hAnsi="Calibri"/>
          <w:b/>
          <w:color w:val="525866"/>
          <w:sz w:val="22"/>
        </w:rPr>
        <w:t xml:space="preserve">May 19, 2026 — Wolfe Research Conference: Heat Pump Demand Inflecting in Europe. </w:t>
      </w:r>
      <w:r>
        <w:rPr>
          <w:rFonts w:ascii="Calibri" w:hAnsi="Calibri"/>
          <w:color w:val="525866"/>
          <w:sz w:val="22"/>
        </w:rPr>
        <w:t xml:space="preserve">Germany heat pump subsidy applications up 30% in Q1 and "very strong" in April/May; government funding confirmed through at least 2029. New Viessmann-branded heat pump product (just below premium tier) launching before the heating season and has already won an industry award. </w:t>
      </w:r>
      <w:r>
        <w:rPr>
          <w:rFonts w:ascii="Calibri" w:hAnsi="Calibri"/>
          <w:b/>
          <w:color w:val="525866"/>
          <w:sz w:val="22"/>
        </w:rPr>
        <w:t xml:space="preserve">Implication: </w:t>
      </w:r>
      <w:r>
        <w:rPr>
          <w:rFonts w:ascii="Calibri" w:hAnsi="Calibri"/>
          <w:color w:val="525866"/>
          <w:sz w:val="22"/>
        </w:rPr>
        <w:t>Positive for CSE segment revenue and margin recovery; reduces the risk of a European miss in Q2.</w:t>
      </w:r>
    </w:p>
    <w:p>
      <w:pPr>
        <w:pStyle w:val="ListBullet"/>
        <w:ind w:left="360" w:hanging="360"/>
      </w:pPr>
      <w:r>
        <w:rPr>
          <w:rFonts w:ascii="Calibri" w:hAnsi="Calibri"/>
          <w:b/>
          <w:color w:val="525866"/>
          <w:sz w:val="22"/>
        </w:rPr>
        <w:t xml:space="preserve">July 7, 2026 — Q2 2026 Earnings Advisory: Earnings Scheduled for July 30, 2026. </w:t>
      </w:r>
      <w:r>
        <w:rPr>
          <w:rFonts w:ascii="Calibri" w:hAnsi="Calibri"/>
          <w:color w:val="525866"/>
          <w:sz w:val="22"/>
        </w:rPr>
        <w:t>CARR confirmed Q2 2026 results will be released on July 30, 2026, before market open, with a conference call to follow.</w:t>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The only notable insider transaction since Q1 earnings is a </w:t>
      </w:r>
      <w:r>
        <w:rPr>
          <w:rFonts w:ascii="Calibri" w:hAnsi="Calibri"/>
          <w:b/>
          <w:color w:val="525866"/>
          <w:sz w:val="22"/>
        </w:rPr>
        <w:t>large discretionary sale by Director Maximilian Viessmann</w:t>
      </w:r>
      <w:r>
        <w:rPr>
          <w:rFonts w:ascii="Calibri" w:hAnsi="Calibri"/>
          <w:color w:val="525866"/>
          <w:sz w:val="22"/>
        </w:rPr>
        <w:t xml:space="preserve"> (12.1M shares, ~$800M+ estimated value) on May 20, 2026 — this is a significant disposition but should be interpreted in the context of the Viessmann family's ongoing monetization of their CARR stake received in the 2023 Viessmann Climate Solutions acquisition, rather than as a negative signal about business fundamentals. No open-market purchases by management were filed.</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Viessmann, Maximilian</w:t>
            </w:r>
          </w:p>
        </w:tc>
        <w:tc>
          <w:tcPr>
            <w:tcW w:type="dxa" w:w="1440"/>
          </w:tcPr>
          <w:p>
            <w:r>
              <w:rPr>
                <w:rFonts w:ascii="Calibri" w:hAnsi="Calibri"/>
                <w:sz w:val="22"/>
              </w:rPr>
              <w:t>Director</w:t>
            </w:r>
          </w:p>
        </w:tc>
        <w:tc>
          <w:tcPr>
            <w:tcW w:type="dxa" w:w="1440"/>
          </w:tcPr>
          <w:p>
            <w:r>
              <w:rPr>
                <w:rFonts w:ascii="Calibri" w:hAnsi="Calibri"/>
                <w:sz w:val="22"/>
              </w:rPr>
              <w:t>Open Market Sale (Indirect)</w:t>
            </w:r>
          </w:p>
        </w:tc>
        <w:tc>
          <w:tcPr>
            <w:tcW w:type="dxa" w:w="1440"/>
          </w:tcPr>
          <w:p>
            <w:r>
              <w:rPr>
                <w:rFonts w:ascii="Calibri" w:hAnsi="Calibri"/>
                <w:sz w:val="22"/>
              </w:rPr>
              <w:t>12,094,823 shares</w:t>
            </w:r>
          </w:p>
        </w:tc>
        <w:tc>
          <w:tcPr>
            <w:tcW w:type="dxa" w:w="1440"/>
          </w:tcPr>
          <w:p>
            <w:r>
              <w:rPr>
                <w:rFonts w:ascii="Calibri" w:hAnsi="Calibri"/>
                <w:sz w:val="22"/>
              </w:rPr>
              <w:t>May 20, 2026</w:t>
            </w:r>
          </w:p>
        </w:tc>
        <w:tc>
          <w:tcPr>
            <w:tcW w:type="dxa" w:w="1440"/>
          </w:tcPr>
          <w:p>
            <w:r>
              <w:rPr>
                <w:rFonts w:ascii="Calibri" w:hAnsi="Calibri"/>
                <w:sz w:val="22"/>
              </w:rPr>
              <w:t>Discretionary sale; indirect ownership (through family/trust structure). Viessmann family received CARR shares as consideration in the 2023 Viessmann Climate Solutions acquisition; this represents ongoing monetization of that stake. Remaining indirect ownership: ~37.98M shares post-transaction.</w:t>
            </w:r>
          </w:p>
        </w:tc>
      </w:tr>
    </w:tbl>
    <w:p>
      <w:r>
        <w:rPr>
          <w:rFonts w:ascii="Calibri" w:hAnsi="Calibri"/>
          <w:color w:val="525866"/>
          <w:sz w:val="22"/>
        </w:rPr>
        <w:t>No open-market purchases by executive officers or other directors were filed in the period from April 30, 2026 to July 27, 2026. The absence of management buys is not unusual given the proximity to earnings blackout periods. The Viessmann family sale is a large transaction in absolute terms but is consistent with the pattern of post-acquisition stake monetization and does not represent a change in the family's long-term strategic relationship with CARR.</w:t>
      </w:r>
    </w:p>
    <w:p>
      <w:r>
        <w:rPr>
          <w:rFonts w:ascii="Calibri" w:hAnsi="Calibri"/>
          <w:i/>
          <w:color w:val="525866"/>
          <w:sz w:val="22"/>
        </w:rPr>
        <w:t>Source: SEC Form 4 Filings Database. Filing date: May 20, 2026.</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