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Carrier Global Corporation (CARR)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Prepared Date</w:t>
            </w:r>
          </w:p>
        </w:tc>
        <w:tc>
          <w:tcPr>
            <w:tcW w:type="dxa" w:w="2160"/>
          </w:tcPr>
          <w:p>
            <w:r>
              <w:rPr>
                <w:rFonts w:ascii="Calibri" w:hAnsi="Calibri"/>
                <w:sz w:val="22"/>
              </w:rPr>
              <w:t>July 27, 2026</w:t>
            </w:r>
          </w:p>
        </w:tc>
        <w:tc>
          <w:tcPr>
            <w:tcW w:type="dxa" w:w="2160"/>
          </w:tcPr>
          <w:p>
            <w:r>
              <w:rPr>
                <w:rFonts w:ascii="Calibri" w:hAnsi="Calibri"/>
                <w:b/>
                <w:sz w:val="22"/>
              </w:rPr>
              <w:t>Earnings Date</w:t>
            </w:r>
          </w:p>
        </w:tc>
        <w:tc>
          <w:tcPr>
            <w:tcW w:type="dxa" w:w="2160"/>
          </w:tcPr>
          <w:p>
            <w:r>
              <w:rPr>
                <w:rFonts w:ascii="Calibri" w:hAnsi="Calibri"/>
                <w:sz w:val="22"/>
              </w:rPr>
              <w:t>July 28, 2026 (pre-market)</w:t>
            </w:r>
          </w:p>
        </w:tc>
      </w:tr>
      <w:tr>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c>
          <w:tcPr>
            <w:tcW w:type="dxa" w:w="2160"/>
          </w:tcPr>
          <w:p>
            <w:r>
              <w:rPr>
                <w:rFonts w:ascii="Calibri" w:hAnsi="Calibri"/>
                <w:b/>
                <w:sz w:val="22"/>
              </w:rPr>
              <w:t>Last Earnings</w:t>
            </w:r>
          </w:p>
        </w:tc>
        <w:tc>
          <w:tcPr>
            <w:tcW w:type="dxa" w:w="2160"/>
          </w:tcPr>
          <w:p>
            <w:r>
              <w:rPr>
                <w:rFonts w:ascii="Calibri" w:hAnsi="Calibri"/>
                <w:sz w:val="22"/>
              </w:rPr>
              <w:t>April 30, 2026 (Q1 2026)</w:t>
            </w:r>
          </w:p>
        </w:tc>
      </w:tr>
      <w:tr>
        <w:tc>
          <w:tcPr>
            <w:tcW w:type="dxa" w:w="2160"/>
          </w:tcPr>
          <w:p>
            <w:r>
              <w:rPr>
                <w:rFonts w:ascii="Calibri" w:hAnsi="Calibri"/>
                <w:b/>
                <w:sz w:val="22"/>
              </w:rPr>
              <w:t>Sector ETF Benchmark</w:t>
            </w:r>
          </w:p>
        </w:tc>
        <w:tc>
          <w:tcPr>
            <w:tcW w:type="dxa" w:w="2160"/>
          </w:tcPr>
          <w:p>
            <w:r>
              <w:rPr>
                <w:rFonts w:ascii="Calibri" w:hAnsi="Calibri"/>
                <w:sz w:val="22"/>
              </w:rPr>
              <w:t>XLI (Industrial Select Sector SPDR)</w:t>
            </w:r>
          </w:p>
        </w:tc>
        <w:tc>
          <w:tcPr>
            <w:tcW w:type="dxa" w:w="2160"/>
          </w:tcPr>
          <w:p>
            <w:r>
              <w:rPr>
                <w:rFonts w:ascii="Calibri" w:hAnsi="Calibri"/>
                <w:b/>
                <w:sz w:val="22"/>
              </w:rPr>
              <w:t>Primary Valuation Metric</w:t>
            </w:r>
          </w:p>
        </w:tc>
        <w:tc>
          <w:tcPr>
            <w:tcW w:type="dxa" w:w="2160"/>
          </w:tcPr>
          <w:p>
            <w:r>
              <w:rPr>
                <w:rFonts w:ascii="Calibri" w:hAnsi="Calibri"/>
                <w:sz w:val="22"/>
              </w:rPr>
              <w:t>EV/EBITDA (NTM 14.4x)</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is a manageable bar and the data center ramp is the dominant swing factor, but residential headwinds and tariff price-cost timing in Q2 keep the risk/reward balanced rather than one-sided.</w:t>
      </w:r>
    </w:p>
    <w:p>
      <w:r>
        <w:rPr>
          <w:rFonts w:ascii="Calibri" w:hAnsi="Calibri"/>
          <w:color w:val="525866"/>
          <w:sz w:val="22"/>
        </w:rPr>
        <w:t xml:space="preserve">Heading into Q2 2026, Carrier's consensus sits at roughly </w:t>
      </w:r>
      <w:r>
        <w:rPr>
          <w:rFonts w:ascii="Calibri" w:hAnsi="Calibri"/>
          <w:b/>
          <w:color w:val="525866"/>
          <w:sz w:val="22"/>
        </w:rPr>
        <w:t>$6.01B in revenue and $0.81 in adjusted EPS</w:t>
      </w:r>
      <w:r>
        <w:rPr>
          <w:rFonts w:ascii="Calibri" w:hAnsi="Calibri"/>
          <w:color w:val="525866"/>
          <w:sz w:val="22"/>
        </w:rPr>
        <w:t xml:space="preserve"> — both broadly in line with management's own Q2 guide of "just below $6 billion" in revenue and "about $0.80" in adjusted EPS, leaving little room for a dramatic beat but also a low-risk bar given the guidance was set conservatively after a Q1 upside surprise. Management's tone on the April 30 call was explicitly confident: full-year guidance was reaffirmed (and nudged slightly higher in revenue terms), data center backlog fully covers the $1.5B 2026 target with orders up over 500% in Q1, and the residential field inventory drawdown is tracking better than feared. Estimate revisions have been modestly positive since the Q1 print — Q2 EPS consensus moved from ~$0.80 to ~$0.81 — reflecting the Q1 beat and management's constructive tone, though the trajectory has been essentially flat since May, suggesting the street is waiting for execution proof rather than pre-positioning. The stock has rallied ~3% since the Q1 print (vs. XLI +5%), underperforming the sector slightly, which implies the market has not fully priced in a beat and the multiple (NTM EV/EBITDA ~14.4x, down from ~15.5x a month ago) is not stretched. The single biggest wildcard is the </w:t>
      </w:r>
      <w:r>
        <w:rPr>
          <w:rFonts w:ascii="Calibri" w:hAnsi="Calibri"/>
          <w:b/>
          <w:color w:val="525866"/>
          <w:sz w:val="22"/>
        </w:rPr>
        <w:t>pace of the data center revenue ramp in 2H 2026</w:t>
      </w:r>
      <w:r>
        <w:rPr>
          <w:rFonts w:ascii="Calibri" w:hAnsi="Calibri"/>
          <w:color w:val="525866"/>
          <w:sz w:val="22"/>
        </w:rPr>
        <w:t>: management guided for a "significant" second-half step-up in commercial deliveries, and any signal on whether that ramp is on track — or whether tariff-related price-cost timing created a Q2 margin headwind larger than the guided ~30bps — will drive the stock reaction more than the headline EPS number.</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Dimension</w:t>
            </w:r>
          </w:p>
        </w:tc>
        <w:tc>
          <w:tcPr>
            <w:tcW w:type="dxa" w:w="4320"/>
          </w:tcPr>
          <w:p>
            <w:r>
              <w:rPr>
                <w:rFonts w:ascii="Calibri" w:hAnsi="Calibri"/>
                <w:b/>
                <w:sz w:val="22"/>
              </w:rPr>
              <w:t>Assessment</w:t>
            </w:r>
          </w:p>
        </w:tc>
      </w:tr>
      <w:tr>
        <w:tc>
          <w:tcPr>
            <w:tcW w:type="dxa" w:w="4320"/>
          </w:tcPr>
          <w:p>
            <w:r>
              <w:rPr>
                <w:rFonts w:ascii="Calibri" w:hAnsi="Calibri"/>
                <w:sz w:val="22"/>
              </w:rPr>
              <w:t>Bar</w:t>
            </w:r>
          </w:p>
        </w:tc>
        <w:tc>
          <w:tcPr>
            <w:tcW w:type="dxa" w:w="4320"/>
          </w:tcPr>
          <w:p>
            <w:r>
              <w:rPr>
                <w:rFonts w:ascii="Calibri" w:hAnsi="Calibri"/>
                <w:sz w:val="22"/>
              </w:rPr>
              <w:t>Manageable / in-line with guidance. Consensus Q2 EPS of ~$0.81 is essentially at the guided $0.80; revenue consensus of ~$6.01B is just below the guided "just below $6B." Not a high bar, but not a gimmie either.</w:t>
            </w:r>
          </w:p>
        </w:tc>
      </w:tr>
      <w:tr>
        <w:tc>
          <w:tcPr>
            <w:tcW w:type="dxa" w:w="4320"/>
          </w:tcPr>
          <w:p>
            <w:r>
              <w:rPr>
                <w:rFonts w:ascii="Calibri" w:hAnsi="Calibri"/>
                <w:sz w:val="22"/>
              </w:rPr>
              <w:t>Guidance / Tone</w:t>
            </w:r>
          </w:p>
        </w:tc>
        <w:tc>
          <w:tcPr>
            <w:tcW w:type="dxa" w:w="4320"/>
          </w:tcPr>
          <w:p>
            <w:r>
              <w:rPr>
                <w:rFonts w:ascii="Calibri" w:hAnsi="Calibri"/>
                <w:sz w:val="22"/>
              </w:rPr>
              <w:t>Explicitly confident. Full-year guidance reaffirmed and nudged higher ("bit above $22B" vs. prior "bit below $22B"). Tariff headwind acknowledged but management committed to dollar-for-dollar offset. Tone on data centers shifted from "on track" to "targeting to exceed" the $1.5B target.</w:t>
            </w:r>
          </w:p>
        </w:tc>
      </w:tr>
      <w:tr>
        <w:tc>
          <w:tcPr>
            <w:tcW w:type="dxa" w:w="4320"/>
          </w:tcPr>
          <w:p>
            <w:r>
              <w:rPr>
                <w:rFonts w:ascii="Calibri" w:hAnsi="Calibri"/>
                <w:sz w:val="22"/>
              </w:rPr>
              <w:t>Estimate Trajectory</w:t>
            </w:r>
          </w:p>
        </w:tc>
        <w:tc>
          <w:tcPr>
            <w:tcW w:type="dxa" w:w="4320"/>
          </w:tcPr>
          <w:p>
            <w:r>
              <w:rPr>
                <w:rFonts w:ascii="Calibri" w:hAnsi="Calibri"/>
                <w:sz w:val="22"/>
              </w:rPr>
              <w:t>Flat-to-modestly-up since Q1 print. Q2 EPS consensus ~$0.80–$0.81 (vs. ~$0.80 guided). FY2026 EPS consensus ~$2.81 is essentially at the guided ~$2.80. Revisions tracking guidance, not diverging — no meaningful cushion or risk embedded.</w:t>
            </w:r>
          </w:p>
        </w:tc>
      </w:tr>
      <w:tr>
        <w:tc>
          <w:tcPr>
            <w:tcW w:type="dxa" w:w="4320"/>
          </w:tcPr>
          <w:p>
            <w:r>
              <w:rPr>
                <w:rFonts w:ascii="Calibri" w:hAnsi="Calibri"/>
                <w:sz w:val="22"/>
              </w:rPr>
              <w:t>Stock Setup</w:t>
            </w:r>
          </w:p>
        </w:tc>
        <w:tc>
          <w:tcPr>
            <w:tcW w:type="dxa" w:w="4320"/>
          </w:tcPr>
          <w:p>
            <w:r>
              <w:rPr>
                <w:rFonts w:ascii="Calibri" w:hAnsi="Calibri"/>
                <w:sz w:val="22"/>
              </w:rPr>
              <w:t>Neutral-to-slightly-constructive. CARR +3% since Q1 print vs. XLI +5%; NTM EV/EBITDA ~14.4x (below 12M average of ~15x). Multiple has compressed ~7% in the past month, suggesting some de-risking. Stock has not priced in a beat.</w:t>
            </w:r>
          </w:p>
        </w:tc>
      </w:tr>
      <w:tr>
        <w:tc>
          <w:tcPr>
            <w:tcW w:type="dxa" w:w="4320"/>
          </w:tcPr>
          <w:p>
            <w:r>
              <w:rPr>
                <w:rFonts w:ascii="Calibri" w:hAnsi="Calibri"/>
                <w:sz w:val="22"/>
              </w:rPr>
              <w:t>Wildcard</w:t>
            </w:r>
          </w:p>
        </w:tc>
        <w:tc>
          <w:tcPr>
            <w:tcW w:type="dxa" w:w="4320"/>
          </w:tcPr>
          <w:p>
            <w:r>
              <w:rPr>
                <w:rFonts w:ascii="Calibri" w:hAnsi="Calibri"/>
                <w:sz w:val="22"/>
              </w:rPr>
              <w:t>Data center 2H ramp visibility and tariff price-cost timing. Any update on the new North American manufacturing facility announcement (CapEx ~$500M→~$600M) or residential sell-through trends in June could also move the stock.</w:t>
            </w:r>
          </w:p>
        </w:tc>
      </w:tr>
    </w:tbl>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broadly in line with management's own Q2 guide. </w:t>
      </w:r>
      <w:r>
        <w:rPr>
          <w:rFonts w:ascii="Calibri" w:hAnsi="Calibri"/>
          <w:b/>
          <w:color w:val="525866"/>
          <w:sz w:val="22"/>
        </w:rPr>
        <w:t>CSA segment margin (~24% guided) is the bigger swing factor</w:t>
      </w:r>
      <w:r>
        <w:rPr>
          <w:rFonts w:ascii="Calibri" w:hAnsi="Calibri"/>
          <w:color w:val="525866"/>
          <w:sz w:val="22"/>
        </w:rPr>
        <w:t xml:space="preserve"> — residential volume and data center mix will determine whether the company hits or misses the operating margin line.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($B)</w:t>
            </w:r>
          </w:p>
        </w:tc>
        <w:tc>
          <w:tcPr>
            <w:tcW w:type="dxa" w:w="1234"/>
          </w:tcPr>
          <w:p>
            <w:r>
              <w:rPr>
                <w:rFonts w:ascii="Calibri" w:hAnsi="Calibri"/>
                <w:sz w:val="22"/>
              </w:rPr>
              <w:t>$5.341B</w:t>
            </w:r>
          </w:p>
        </w:tc>
        <w:tc>
          <w:tcPr>
            <w:tcW w:type="dxa" w:w="1234"/>
          </w:tcPr>
          <w:p>
            <w:r>
              <w:rPr>
                <w:rFonts w:ascii="Calibri" w:hAnsi="Calibri"/>
                <w:sz w:val="22"/>
              </w:rPr>
              <w:t>$6.113B</w:t>
            </w:r>
          </w:p>
        </w:tc>
        <w:tc>
          <w:tcPr>
            <w:tcW w:type="dxa" w:w="1234"/>
          </w:tcPr>
          <w:p>
            <w:r>
              <w:rPr>
                <w:rFonts w:ascii="Calibri" w:hAnsi="Calibri"/>
                <w:sz w:val="22"/>
              </w:rPr>
              <w:t>$6.014B</w:t>
            </w:r>
          </w:p>
        </w:tc>
        <w:tc>
          <w:tcPr>
            <w:tcW w:type="dxa" w:w="1234"/>
          </w:tcPr>
          <w:p>
            <w:r>
              <w:rPr>
                <w:rFonts w:ascii="Calibri" w:hAnsi="Calibri"/>
                <w:b/>
                <w:color w:val="E5484D"/>
                <w:sz w:val="22"/>
              </w:rPr>
              <w:t>-1.6% YoY</w:t>
            </w:r>
          </w:p>
        </w:tc>
        <w:tc>
          <w:tcPr>
            <w:tcW w:type="dxa" w:w="1234"/>
          </w:tcPr>
          <w:p>
            <w:r>
              <w:rPr>
                <w:rFonts w:ascii="Calibri" w:hAnsi="Calibri"/>
                <w:sz w:val="22"/>
              </w:rPr>
              <w:t>"Just below $6B"</w:t>
            </w:r>
          </w:p>
        </w:tc>
        <w:tc>
          <w:tcPr>
            <w:tcW w:type="dxa" w:w="1234"/>
          </w:tcPr>
          <w:p>
            <w:r>
              <w:rPr>
                <w:rFonts w:ascii="Calibri" w:hAnsi="Calibri"/>
                <w:sz w:val="22"/>
              </w:rPr>
              <w:t>+0.2% above midpoint</w:t>
            </w:r>
          </w:p>
        </w:tc>
      </w:tr>
      <w:tr>
        <w:tc>
          <w:tcPr>
            <w:tcW w:type="dxa" w:w="1234"/>
          </w:tcPr>
          <w:p>
            <w:r>
              <w:rPr>
                <w:rFonts w:ascii="Calibri" w:hAnsi="Calibri"/>
                <w:sz w:val="22"/>
              </w:rPr>
              <w:t>Organic Revenue Growth (%)</w:t>
            </w:r>
          </w:p>
        </w:tc>
        <w:tc>
          <w:tcPr>
            <w:tcW w:type="dxa" w:w="1234"/>
          </w:tcPr>
          <w:p>
            <w:r>
              <w:rPr>
                <w:rFonts w:ascii="Calibri" w:hAnsi="Calibri"/>
                <w:sz w:val="22"/>
              </w:rPr>
              <w:t>-1.0%</w:t>
            </w:r>
          </w:p>
        </w:tc>
        <w:tc>
          <w:tcPr>
            <w:tcW w:type="dxa" w:w="1234"/>
          </w:tcPr>
          <w:p>
            <w:r>
              <w:rPr>
                <w:rFonts w:ascii="Calibri" w:hAnsi="Calibri"/>
                <w:sz w:val="22"/>
              </w:rPr>
              <w:t>+6.0%</w:t>
            </w:r>
          </w:p>
        </w:tc>
        <w:tc>
          <w:tcPr>
            <w:tcW w:type="dxa" w:w="1234"/>
          </w:tcPr>
          <w:p>
            <w:r>
              <w:rPr>
                <w:rFonts w:ascii="Calibri" w:hAnsi="Calibri"/>
                <w:sz w:val="22"/>
              </w:rPr>
              <w:t>-2.1%</w:t>
            </w:r>
          </w:p>
        </w:tc>
        <w:tc>
          <w:tcPr>
            <w:tcW w:type="dxa" w:w="1234"/>
          </w:tcPr>
          <w:p>
            <w:r>
              <w:rPr>
                <w:rFonts w:ascii="Calibri" w:hAnsi="Calibri"/>
                <w:b/>
                <w:color w:val="E5484D"/>
                <w:sz w:val="22"/>
              </w:rPr>
              <w:t>-810bps YoY</w:t>
            </w:r>
          </w:p>
        </w:tc>
        <w:tc>
          <w:tcPr>
            <w:tcW w:type="dxa" w:w="1234"/>
          </w:tcPr>
          <w:p>
            <w:r>
              <w:rPr>
                <w:rFonts w:ascii="Calibri" w:hAnsi="Calibri"/>
                <w:sz w:val="22"/>
              </w:rPr>
              <w:t>Flat to down LSD</w:t>
            </w:r>
          </w:p>
        </w:tc>
        <w:tc>
          <w:tcPr>
            <w:tcW w:type="dxa" w:w="1234"/>
          </w:tcPr>
          <w:p>
            <w:r>
              <w:rPr>
                <w:rFonts w:ascii="Calibri" w:hAnsi="Calibri"/>
                <w:sz w:val="22"/>
              </w:rPr>
              <w:t>Within guided range</w:t>
            </w:r>
          </w:p>
        </w:tc>
      </w:tr>
      <w:tr>
        <w:tc>
          <w:tcPr>
            <w:tcW w:type="dxa" w:w="1234"/>
          </w:tcPr>
          <w:p>
            <w:r>
              <w:rPr>
                <w:rFonts w:ascii="Calibri" w:hAnsi="Calibri"/>
                <w:sz w:val="22"/>
              </w:rPr>
              <w:t>Adj. EPS (Diluted, Operating)</w:t>
            </w:r>
          </w:p>
        </w:tc>
        <w:tc>
          <w:tcPr>
            <w:tcW w:type="dxa" w:w="1234"/>
          </w:tcPr>
          <w:p>
            <w:r>
              <w:rPr>
                <w:rFonts w:ascii="Calibri" w:hAnsi="Calibri"/>
                <w:sz w:val="22"/>
              </w:rPr>
              <w:t>$0.57</w:t>
            </w:r>
          </w:p>
        </w:tc>
        <w:tc>
          <w:tcPr>
            <w:tcW w:type="dxa" w:w="1234"/>
          </w:tcPr>
          <w:p>
            <w:r>
              <w:rPr>
                <w:rFonts w:ascii="Calibri" w:hAnsi="Calibri"/>
                <w:sz w:val="22"/>
              </w:rPr>
              <w:t>$0.92</w:t>
            </w:r>
          </w:p>
        </w:tc>
        <w:tc>
          <w:tcPr>
            <w:tcW w:type="dxa" w:w="1234"/>
          </w:tcPr>
          <w:p>
            <w:r>
              <w:rPr>
                <w:rFonts w:ascii="Calibri" w:hAnsi="Calibri"/>
                <w:sz w:val="22"/>
              </w:rPr>
              <w:t>$0.81</w:t>
            </w:r>
          </w:p>
        </w:tc>
        <w:tc>
          <w:tcPr>
            <w:tcW w:type="dxa" w:w="1234"/>
          </w:tcPr>
          <w:p>
            <w:r>
              <w:rPr>
                <w:rFonts w:ascii="Calibri" w:hAnsi="Calibri"/>
                <w:b/>
                <w:color w:val="E5484D"/>
                <w:sz w:val="22"/>
              </w:rPr>
              <w:t>-12% YoY</w:t>
            </w:r>
          </w:p>
        </w:tc>
        <w:tc>
          <w:tcPr>
            <w:tcW w:type="dxa" w:w="1234"/>
          </w:tcPr>
          <w:p>
            <w:r>
              <w:rPr>
                <w:rFonts w:ascii="Calibri" w:hAnsi="Calibri"/>
                <w:sz w:val="22"/>
              </w:rPr>
              <w:t>~$0.80</w:t>
            </w:r>
          </w:p>
        </w:tc>
        <w:tc>
          <w:tcPr>
            <w:tcW w:type="dxa" w:w="1234"/>
          </w:tcPr>
          <w:p>
            <w:r>
              <w:rPr>
                <w:rFonts w:ascii="Calibri" w:hAnsi="Calibri"/>
                <w:sz w:val="22"/>
              </w:rPr>
              <w:t>+1.3% above guide</w:t>
            </w:r>
          </w:p>
        </w:tc>
      </w:tr>
      <w:tr>
        <w:tc>
          <w:tcPr>
            <w:tcW w:type="dxa" w:w="1234"/>
          </w:tcPr>
          <w:p>
            <w:r>
              <w:rPr>
                <w:rFonts w:ascii="Calibri" w:hAnsi="Calibri"/>
                <w:sz w:val="22"/>
              </w:rPr>
              <w:t>Adj. Operating Margin (%)</w:t>
            </w:r>
          </w:p>
        </w:tc>
        <w:tc>
          <w:tcPr>
            <w:tcW w:type="dxa" w:w="1234"/>
          </w:tcPr>
          <w:p>
            <w:r>
              <w:rPr>
                <w:rFonts w:ascii="Calibri" w:hAnsi="Calibri"/>
                <w:sz w:val="22"/>
              </w:rPr>
              <w:t>11.1%</w:t>
            </w:r>
          </w:p>
        </w:tc>
        <w:tc>
          <w:tcPr>
            <w:tcW w:type="dxa" w:w="1234"/>
          </w:tcPr>
          <w:p>
            <w:r>
              <w:rPr>
                <w:rFonts w:ascii="Calibri" w:hAnsi="Calibri"/>
                <w:sz w:val="22"/>
              </w:rPr>
              <w:t>19.1%</w:t>
            </w:r>
          </w:p>
        </w:tc>
        <w:tc>
          <w:tcPr>
            <w:tcW w:type="dxa" w:w="1234"/>
          </w:tcPr>
          <w:p>
            <w:r>
              <w:rPr>
                <w:rFonts w:ascii="Calibri" w:hAnsi="Calibri"/>
                <w:sz w:val="22"/>
              </w:rPr>
              <w:t>17.3%</w:t>
            </w:r>
          </w:p>
        </w:tc>
        <w:tc>
          <w:tcPr>
            <w:tcW w:type="dxa" w:w="1234"/>
          </w:tcPr>
          <w:p>
            <w:r>
              <w:rPr>
                <w:rFonts w:ascii="Calibri" w:hAnsi="Calibri"/>
                <w:b/>
                <w:color w:val="E5484D"/>
                <w:sz w:val="22"/>
              </w:rPr>
              <w:t>-580bps YoY</w:t>
            </w:r>
          </w:p>
        </w:tc>
        <w:tc>
          <w:tcPr>
            <w:tcW w:type="dxa" w:w="1234"/>
          </w:tcPr>
          <w:p>
            <w:r>
              <w:rPr>
                <w:rFonts w:ascii="Calibri" w:hAnsi="Calibri"/>
                <w:sz w:val="22"/>
              </w:rPr>
              <w:t>~17%</w:t>
            </w:r>
          </w:p>
        </w:tc>
        <w:tc>
          <w:tcPr>
            <w:tcW w:type="dxa" w:w="1234"/>
          </w:tcPr>
          <w:p>
            <w:r>
              <w:rPr>
                <w:rFonts w:ascii="Calibri" w:hAnsi="Calibri"/>
                <w:sz w:val="22"/>
              </w:rPr>
              <w:t>+30bps above guide</w:t>
            </w:r>
          </w:p>
        </w:tc>
      </w:tr>
      <w:tr>
        <w:tc>
          <w:tcPr>
            <w:tcW w:type="dxa" w:w="1234"/>
          </w:tcPr>
          <w:p>
            <w:r>
              <w:rPr>
                <w:rFonts w:ascii="Calibri" w:hAnsi="Calibri"/>
                <w:sz w:val="22"/>
              </w:rPr>
              <w:t>CSA Revenue ($B)</w:t>
            </w:r>
          </w:p>
        </w:tc>
        <w:tc>
          <w:tcPr>
            <w:tcW w:type="dxa" w:w="1234"/>
          </w:tcPr>
          <w:p>
            <w:r>
              <w:rPr>
                <w:rFonts w:ascii="Calibri" w:hAnsi="Calibri"/>
                <w:sz w:val="22"/>
              </w:rPr>
              <w:t>$2.501B</w:t>
            </w:r>
          </w:p>
        </w:tc>
        <w:tc>
          <w:tcPr>
            <w:tcW w:type="dxa" w:w="1234"/>
          </w:tcPr>
          <w:p>
            <w:r>
              <w:rPr>
                <w:rFonts w:ascii="Calibri" w:hAnsi="Calibri"/>
                <w:sz w:val="22"/>
              </w:rPr>
              <w:t>$3.252B</w:t>
            </w:r>
          </w:p>
        </w:tc>
        <w:tc>
          <w:tcPr>
            <w:tcW w:type="dxa" w:w="1234"/>
          </w:tcPr>
          <w:p>
            <w:r>
              <w:rPr>
                <w:rFonts w:ascii="Calibri" w:hAnsi="Calibri"/>
                <w:sz w:val="22"/>
              </w:rPr>
              <w:t>$3.114B</w:t>
            </w:r>
          </w:p>
        </w:tc>
        <w:tc>
          <w:tcPr>
            <w:tcW w:type="dxa" w:w="1234"/>
          </w:tcPr>
          <w:p>
            <w:r>
              <w:rPr>
                <w:rFonts w:ascii="Calibri" w:hAnsi="Calibri"/>
                <w:b/>
                <w:color w:val="E5484D"/>
                <w:sz w:val="22"/>
              </w:rPr>
              <w:t>-4.2% YoY</w:t>
            </w:r>
          </w:p>
        </w:tc>
        <w:tc>
          <w:tcPr>
            <w:tcW w:type="dxa" w:w="1234"/>
          </w:tcPr>
          <w:p>
            <w:r>
              <w:rPr>
                <w:rFonts w:ascii="Calibri" w:hAnsi="Calibri"/>
                <w:sz w:val="22"/>
              </w:rPr>
              <w:t>~Mid-SD down organic</w:t>
            </w:r>
          </w:p>
        </w:tc>
        <w:tc>
          <w:tcPr>
            <w:tcW w:type="dxa" w:w="1234"/>
          </w:tcPr>
          <w:p>
            <w:r>
              <w:rPr>
                <w:rFonts w:ascii="Calibri" w:hAnsi="Calibri"/>
                <w:sz w:val="22"/>
              </w:rPr>
              <w:t>Within guided range</w:t>
            </w:r>
          </w:p>
        </w:tc>
      </w:tr>
      <w:tr>
        <w:tc>
          <w:tcPr>
            <w:tcW w:type="dxa" w:w="1234"/>
          </w:tcPr>
          <w:p>
            <w:r>
              <w:rPr>
                <w:rFonts w:ascii="Calibri" w:hAnsi="Calibri"/>
                <w:sz w:val="22"/>
              </w:rPr>
              <w:t>CSA Operating Margin (%)</w:t>
            </w:r>
          </w:p>
        </w:tc>
        <w:tc>
          <w:tcPr>
            <w:tcW w:type="dxa" w:w="1234"/>
          </w:tcPr>
          <w:p>
            <w:r>
              <w:rPr>
                <w:rFonts w:ascii="Calibri" w:hAnsi="Calibri"/>
                <w:sz w:val="22"/>
              </w:rPr>
              <w:t>14.9%</w:t>
            </w:r>
          </w:p>
        </w:tc>
        <w:tc>
          <w:tcPr>
            <w:tcW w:type="dxa" w:w="1234"/>
          </w:tcPr>
          <w:p>
            <w:r>
              <w:rPr>
                <w:rFonts w:ascii="Calibri" w:hAnsi="Calibri"/>
                <w:sz w:val="22"/>
              </w:rPr>
              <w:t>27.0%</w:t>
            </w:r>
          </w:p>
        </w:tc>
        <w:tc>
          <w:tcPr>
            <w:tcW w:type="dxa" w:w="1234"/>
          </w:tcPr>
          <w:p>
            <w:r>
              <w:rPr>
                <w:rFonts w:ascii="Calibri" w:hAnsi="Calibri"/>
                <w:sz w:val="22"/>
              </w:rPr>
              <w:t>24.0%</w:t>
            </w:r>
          </w:p>
        </w:tc>
        <w:tc>
          <w:tcPr>
            <w:tcW w:type="dxa" w:w="1234"/>
          </w:tcPr>
          <w:p>
            <w:r>
              <w:rPr>
                <w:rFonts w:ascii="Calibri" w:hAnsi="Calibri"/>
                <w:b/>
                <w:color w:val="E5484D"/>
                <w:sz w:val="22"/>
              </w:rPr>
              <w:t>-300bps YoY</w:t>
            </w:r>
          </w:p>
        </w:tc>
        <w:tc>
          <w:tcPr>
            <w:tcW w:type="dxa" w:w="1234"/>
          </w:tcPr>
          <w:p>
            <w:r>
              <w:rPr>
                <w:rFonts w:ascii="Calibri" w:hAnsi="Calibri"/>
                <w:sz w:val="22"/>
              </w:rPr>
              <w:t>~24%</w:t>
            </w:r>
          </w:p>
        </w:tc>
        <w:tc>
          <w:tcPr>
            <w:tcW w:type="dxa" w:w="1234"/>
          </w:tcPr>
          <w:p>
            <w:r>
              <w:rPr>
                <w:rFonts w:ascii="Calibri" w:hAnsi="Calibri"/>
                <w:sz w:val="22"/>
              </w:rPr>
              <w:t>At guide</w:t>
            </w:r>
          </w:p>
        </w:tc>
      </w:tr>
      <w:tr>
        <w:tc>
          <w:tcPr>
            <w:tcW w:type="dxa" w:w="1234"/>
          </w:tcPr>
          <w:p>
            <w:r>
              <w:rPr>
                <w:rFonts w:ascii="Calibri" w:hAnsi="Calibri"/>
                <w:sz w:val="22"/>
              </w:rPr>
              <w:t>Adj. EBITDA ($B)</w:t>
            </w:r>
          </w:p>
        </w:tc>
        <w:tc>
          <w:tcPr>
            <w:tcW w:type="dxa" w:w="1234"/>
          </w:tcPr>
          <w:p>
            <w:r>
              <w:rPr>
                <w:rFonts w:ascii="Calibri" w:hAnsi="Calibri"/>
                <w:sz w:val="22"/>
              </w:rPr>
              <w:t>$0.909B</w:t>
            </w:r>
          </w:p>
        </w:tc>
        <w:tc>
          <w:tcPr>
            <w:tcW w:type="dxa" w:w="1234"/>
          </w:tcPr>
          <w:p>
            <w:r>
              <w:rPr>
                <w:rFonts w:ascii="Calibri" w:hAnsi="Calibri"/>
                <w:sz w:val="22"/>
              </w:rPr>
              <w:t>$1.483B</w:t>
            </w:r>
          </w:p>
        </w:tc>
        <w:tc>
          <w:tcPr>
            <w:tcW w:type="dxa" w:w="1234"/>
          </w:tcPr>
          <w:p>
            <w:r>
              <w:rPr>
                <w:rFonts w:ascii="Calibri" w:hAnsi="Calibri"/>
                <w:sz w:val="22"/>
              </w:rPr>
              <w:t>$1.297B</w:t>
            </w:r>
          </w:p>
        </w:tc>
        <w:tc>
          <w:tcPr>
            <w:tcW w:type="dxa" w:w="1234"/>
          </w:tcPr>
          <w:p>
            <w:r>
              <w:rPr>
                <w:rFonts w:ascii="Calibri" w:hAnsi="Calibri"/>
                <w:b/>
                <w:color w:val="E5484D"/>
                <w:sz w:val="22"/>
              </w:rPr>
              <w:t>-12.5% YoY</w:t>
            </w:r>
          </w:p>
        </w:tc>
        <w:tc>
          <w:tcPr>
            <w:tcW w:type="dxa" w:w="1234"/>
          </w:tcPr>
          <w:p>
            <w:r>
              <w:rPr>
                <w:rFonts w:ascii="Calibri" w:hAnsi="Calibri"/>
                <w:sz w:val="22"/>
              </w:rPr>
              <w:t>N/A (implied by margin guide)</w:t>
            </w:r>
          </w:p>
        </w:tc>
        <w:tc>
          <w:tcPr>
            <w:tcW w:type="dxa" w:w="1234"/>
          </w:tcPr>
          <w:p>
            <w:r>
              <w:rPr>
                <w:rFonts w:ascii="Calibri" w:hAnsi="Calibri"/>
                <w:sz w:val="22"/>
              </w:rPr>
              <w:t>N/A</w:t>
            </w:r>
          </w:p>
        </w:tc>
      </w:tr>
    </w:tbl>
    <w:p>
      <w:r>
        <w:rPr>
          <w:rFonts w:ascii="Calibri" w:hAnsi="Calibri"/>
          <w:b/>
          <w:color w:val="525866"/>
          <w:sz w:val="22"/>
        </w:rPr>
        <w:t xml:space="preserve">Sources: </w:t>
      </w:r>
      <w:r>
        <w:rPr>
          <w:rFonts w:ascii="Calibri" w:hAnsi="Calibri"/>
          <w:color w:val="525866"/>
          <w:sz w:val="22"/>
        </w:rPr>
        <w:t>Visible Alpha Consensus and Actuals Data (Revenue, Organic Growth, Adj. EPS, Adj. Operating Margin, CSA Revenue, CSA Operating Margin, Adj. EBITDA); Q1 2026 Earnings Call transcript (April 30, 2026) for management guidance figures. All consensus figures as of July 27, 2026.</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KPI 1: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$6.113B</w:t>
            </w:r>
          </w:p>
        </w:tc>
        <w:tc>
          <w:tcPr>
            <w:tcW w:type="dxa" w:w="1728"/>
          </w:tcPr>
          <w:p>
            <w:r>
              <w:rPr>
                <w:rFonts w:ascii="Calibri" w:hAnsi="Calibri"/>
                <w:sz w:val="22"/>
              </w:rPr>
              <w:t>$6.100B</w:t>
            </w:r>
          </w:p>
        </w:tc>
        <w:tc>
          <w:tcPr>
            <w:tcW w:type="dxa" w:w="1728"/>
          </w:tcPr>
          <w:p>
            <w:r>
              <w:rPr>
                <w:rFonts w:ascii="Calibri" w:hAnsi="Calibri"/>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$5.984B</w:t>
            </w:r>
          </w:p>
        </w:tc>
        <w:tc>
          <w:tcPr>
            <w:tcW w:type="dxa" w:w="1728"/>
          </w:tcPr>
          <w:p>
            <w:r>
              <w:rPr>
                <w:rFonts w:ascii="Calibri" w:hAnsi="Calibri"/>
                <w:sz w:val="22"/>
              </w:rPr>
              <w:t>N/A — actuals only</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$5.148B</w:t>
            </w:r>
          </w:p>
        </w:tc>
        <w:tc>
          <w:tcPr>
            <w:tcW w:type="dxa" w:w="1728"/>
          </w:tcPr>
          <w:p>
            <w:r>
              <w:rPr>
                <w:rFonts w:ascii="Calibri" w:hAnsi="Calibri"/>
                <w:sz w:val="22"/>
              </w:rPr>
              <w:t>$5.262B</w:t>
            </w:r>
          </w:p>
        </w:tc>
        <w:tc>
          <w:tcPr>
            <w:tcW w:type="dxa" w:w="1728"/>
          </w:tcPr>
          <w:p>
            <w:r>
              <w:rPr>
                <w:rFonts w:ascii="Calibri" w:hAnsi="Calibri"/>
                <w:sz w:val="22"/>
              </w:rPr>
              <w:t>-2.2%</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$5.218B</w:t>
            </w:r>
          </w:p>
        </w:tc>
        <w:tc>
          <w:tcPr>
            <w:tcW w:type="dxa" w:w="1728"/>
          </w:tcPr>
          <w:p>
            <w:r>
              <w:rPr>
                <w:rFonts w:ascii="Calibri" w:hAnsi="Calibri"/>
                <w:sz w:val="22"/>
              </w:rPr>
              <w:t>$5.202B</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$6.113B</w:t>
            </w:r>
          </w:p>
        </w:tc>
        <w:tc>
          <w:tcPr>
            <w:tcW w:type="dxa" w:w="1728"/>
          </w:tcPr>
          <w:p>
            <w:r>
              <w:rPr>
                <w:rFonts w:ascii="Calibri" w:hAnsi="Calibri"/>
                <w:sz w:val="22"/>
              </w:rPr>
              <w:t>$6.100B</w:t>
            </w:r>
          </w:p>
        </w:tc>
        <w:tc>
          <w:tcPr>
            <w:tcW w:type="dxa" w:w="1728"/>
          </w:tcPr>
          <w:p>
            <w:r>
              <w:rPr>
                <w:rFonts w:ascii="Calibri" w:hAnsi="Calibri"/>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$5.579B</w:t>
            </w:r>
          </w:p>
        </w:tc>
        <w:tc>
          <w:tcPr>
            <w:tcW w:type="dxa" w:w="1728"/>
          </w:tcPr>
          <w:p>
            <w:r>
              <w:rPr>
                <w:rFonts w:ascii="Calibri" w:hAnsi="Calibri"/>
                <w:sz w:val="22"/>
              </w:rPr>
              <w:t>$5.558B</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$4.837B</w:t>
            </w:r>
          </w:p>
        </w:tc>
        <w:tc>
          <w:tcPr>
            <w:tcW w:type="dxa" w:w="1728"/>
          </w:tcPr>
          <w:p>
            <w:r>
              <w:rPr>
                <w:rFonts w:ascii="Calibri" w:hAnsi="Calibri"/>
                <w:sz w:val="22"/>
              </w:rPr>
              <w:t>$4.988B</w:t>
            </w:r>
          </w:p>
        </w:tc>
        <w:tc>
          <w:tcPr>
            <w:tcW w:type="dxa" w:w="1728"/>
          </w:tcPr>
          <w:p>
            <w:r>
              <w:rPr>
                <w:rFonts w:ascii="Calibri" w:hAnsi="Calibri"/>
                <w:sz w:val="22"/>
              </w:rPr>
              <w:t>-3.0%</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$5.341B</w:t>
            </w:r>
          </w:p>
        </w:tc>
        <w:tc>
          <w:tcPr>
            <w:tcW w:type="dxa" w:w="1728"/>
          </w:tcPr>
          <w:p>
            <w:r>
              <w:rPr>
                <w:rFonts w:ascii="Calibri" w:hAnsi="Calibri"/>
                <w:sz w:val="22"/>
              </w:rPr>
              <w:t>$5.000B</w:t>
            </w:r>
          </w:p>
        </w:tc>
        <w:tc>
          <w:tcPr>
            <w:tcW w:type="dxa" w:w="1728"/>
          </w:tcPr>
          <w:p>
            <w:r>
              <w:rPr>
                <w:rFonts w:ascii="Calibri" w:hAnsi="Calibri"/>
                <w:sz w:val="22"/>
              </w:rPr>
              <w:t>+6.8%</w:t>
            </w:r>
          </w:p>
        </w:tc>
        <w:tc>
          <w:tcPr>
            <w:tcW w:type="dxa" w:w="1728"/>
          </w:tcPr>
          <w:p>
            <w:r>
              <w:rPr>
                <w:rFonts w:ascii="Calibri" w:hAnsi="Calibri"/>
                <w:b/>
                <w:color w:val="30A46C"/>
                <w:sz w:val="22"/>
              </w:rPr>
              <w:t>Beat</w:t>
            </w:r>
          </w:p>
        </w:tc>
      </w:tr>
    </w:tbl>
    <w:p>
      <w:pPr>
        <w:pStyle w:val="Heading4"/>
      </w:pPr>
      <w:r>
        <w:rPr>
          <w:rFonts w:ascii="Calibri" w:hAnsi="Calibri"/>
          <w:b/>
          <w:color w:val="3B4259"/>
          <w:sz w:val="22"/>
        </w:rPr>
        <w:t>KPI 2: Adjusted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$0.92</w:t>
            </w:r>
          </w:p>
        </w:tc>
        <w:tc>
          <w:tcPr>
            <w:tcW w:type="dxa" w:w="1728"/>
          </w:tcPr>
          <w:p>
            <w:r>
              <w:rPr>
                <w:rFonts w:ascii="Calibri" w:hAnsi="Calibri"/>
                <w:sz w:val="22"/>
              </w:rPr>
              <w:t>$0.906</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$0.77</w:t>
            </w:r>
          </w:p>
        </w:tc>
        <w:tc>
          <w:tcPr>
            <w:tcW w:type="dxa" w:w="1728"/>
          </w:tcPr>
          <w:p>
            <w:r>
              <w:rPr>
                <w:rFonts w:ascii="Calibri" w:hAnsi="Calibri"/>
                <w:sz w:val="22"/>
              </w:rPr>
              <w:t>$0.808</w:t>
            </w:r>
          </w:p>
        </w:tc>
        <w:tc>
          <w:tcPr>
            <w:tcW w:type="dxa" w:w="1728"/>
          </w:tcPr>
          <w:p>
            <w:r>
              <w:rPr>
                <w:rFonts w:ascii="Calibri" w:hAnsi="Calibri"/>
                <w:sz w:val="22"/>
              </w:rPr>
              <w:t>-4.7%</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$0.54</w:t>
            </w:r>
          </w:p>
        </w:tc>
        <w:tc>
          <w:tcPr>
            <w:tcW w:type="dxa" w:w="1728"/>
          </w:tcPr>
          <w:p>
            <w:r>
              <w:rPr>
                <w:rFonts w:ascii="Calibri" w:hAnsi="Calibri"/>
                <w:sz w:val="22"/>
              </w:rPr>
              <w:t>$0.491</w:t>
            </w:r>
          </w:p>
        </w:tc>
        <w:tc>
          <w:tcPr>
            <w:tcW w:type="dxa" w:w="1728"/>
          </w:tcPr>
          <w:p>
            <w:r>
              <w:rPr>
                <w:rFonts w:ascii="Calibri" w:hAnsi="Calibri"/>
                <w:sz w:val="22"/>
              </w:rPr>
              <w:t>+10.0%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$0.65</w:t>
            </w:r>
          </w:p>
        </w:tc>
        <w:tc>
          <w:tcPr>
            <w:tcW w:type="dxa" w:w="1728"/>
          </w:tcPr>
          <w:p>
            <w:r>
              <w:rPr>
                <w:rFonts w:ascii="Calibri" w:hAnsi="Calibri"/>
                <w:sz w:val="22"/>
              </w:rPr>
              <w:t>$0.584</w:t>
            </w:r>
          </w:p>
        </w:tc>
        <w:tc>
          <w:tcPr>
            <w:tcW w:type="dxa" w:w="1728"/>
          </w:tcPr>
          <w:p>
            <w:r>
              <w:rPr>
                <w:rFonts w:ascii="Calibri" w:hAnsi="Calibri"/>
                <w:sz w:val="22"/>
              </w:rPr>
              <w:t>+11.3%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$0.92</w:t>
            </w:r>
          </w:p>
        </w:tc>
        <w:tc>
          <w:tcPr>
            <w:tcW w:type="dxa" w:w="1728"/>
          </w:tcPr>
          <w:p>
            <w:r>
              <w:rPr>
                <w:rFonts w:ascii="Calibri" w:hAnsi="Calibri"/>
                <w:sz w:val="22"/>
              </w:rPr>
              <w:t>$0.906</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$0.67</w:t>
            </w:r>
          </w:p>
        </w:tc>
        <w:tc>
          <w:tcPr>
            <w:tcW w:type="dxa" w:w="1728"/>
          </w:tcPr>
          <w:p>
            <w:r>
              <w:rPr>
                <w:rFonts w:ascii="Calibri" w:hAnsi="Calibri"/>
                <w:sz w:val="22"/>
              </w:rPr>
              <w:t>$0.573</w:t>
            </w:r>
          </w:p>
        </w:tc>
        <w:tc>
          <w:tcPr>
            <w:tcW w:type="dxa" w:w="1728"/>
          </w:tcPr>
          <w:p>
            <w:r>
              <w:rPr>
                <w:rFonts w:ascii="Calibri" w:hAnsi="Calibri"/>
                <w:sz w:val="22"/>
              </w:rPr>
              <w:t>+16.9%</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$0.34</w:t>
            </w:r>
          </w:p>
        </w:tc>
        <w:tc>
          <w:tcPr>
            <w:tcW w:type="dxa" w:w="1728"/>
          </w:tcPr>
          <w:p>
            <w:r>
              <w:rPr>
                <w:rFonts w:ascii="Calibri" w:hAnsi="Calibri"/>
                <w:sz w:val="22"/>
              </w:rPr>
              <w:t>$0.365</w:t>
            </w:r>
          </w:p>
        </w:tc>
        <w:tc>
          <w:tcPr>
            <w:tcW w:type="dxa" w:w="1728"/>
          </w:tcPr>
          <w:p>
            <w:r>
              <w:rPr>
                <w:rFonts w:ascii="Calibri" w:hAnsi="Calibri"/>
                <w:sz w:val="22"/>
              </w:rPr>
              <w:t>-6.8%</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$0.57</w:t>
            </w:r>
          </w:p>
        </w:tc>
        <w:tc>
          <w:tcPr>
            <w:tcW w:type="dxa" w:w="1728"/>
          </w:tcPr>
          <w:p>
            <w:r>
              <w:rPr>
                <w:rFonts w:ascii="Calibri" w:hAnsi="Calibri"/>
                <w:sz w:val="22"/>
              </w:rPr>
              <w:t>$0.508</w:t>
            </w:r>
          </w:p>
        </w:tc>
        <w:tc>
          <w:tcPr>
            <w:tcW w:type="dxa" w:w="1728"/>
          </w:tcPr>
          <w:p>
            <w:r>
              <w:rPr>
                <w:rFonts w:ascii="Calibri" w:hAnsi="Calibri"/>
                <w:sz w:val="22"/>
              </w:rPr>
              <w:t>+12.2%</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CARR has beaten EPS consensus in 6 of the last 8 quarters, with the two misses (Q3 2024, Q4 2025) coinciding with the sharpest residential volume declines. Revenue beats have been narrower and less consistent, with two misses driven by residential shortfalls. The Q1 2026 EPS beat of +12% was the largest in the trailing 8-quarter window, driven by better-than-expected residential movement and data center order momentum.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is unchanged from the Q1 2026 earnings call — full-year revenue, operating profit, and EPS all reaffirmed — but tone has shifted </w:t>
      </w:r>
      <w:r>
        <w:rPr>
          <w:rFonts w:ascii="Calibri" w:hAnsi="Calibri"/>
          <w:b/>
          <w:color w:val="525866"/>
          <w:sz w:val="22"/>
        </w:rPr>
        <w:t>more bullish on data centers and more constructive on residential recovery</w:t>
      </w:r>
      <w:r>
        <w:rPr>
          <w:rFonts w:ascii="Calibri" w:hAnsi="Calibri"/>
          <w:color w:val="525866"/>
          <w:sz w:val="22"/>
        </w:rPr>
        <w:t xml:space="preserve"> since the April 30 print, with the tariff headwind partially relieved by the June 8 proclamation reducing residential HVAC tariffs from 25% to 15%.</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30)</w:t>
            </w:r>
          </w:p>
        </w:tc>
        <w:tc>
          <w:tcPr>
            <w:tcW w:type="dxa" w:w="1728"/>
            <w:shd w:val="clear" w:color="auto" w:fill="3B4259"/>
          </w:tcPr>
          <w:p>
            <w:r>
              <w:rPr>
                <w:rFonts w:ascii="Calibri" w:hAnsi="Calibri"/>
                <w:b/>
                <w:color w:val="FFFFFF"/>
                <w:sz w:val="22"/>
              </w:rPr>
              <w:t>Revised Guidance (Post-Earnings)</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Revenue</w:t>
            </w:r>
          </w:p>
        </w:tc>
        <w:tc>
          <w:tcPr>
            <w:tcW w:type="dxa" w:w="1728"/>
          </w:tcPr>
          <w:p>
            <w:r>
              <w:rPr>
                <w:rFonts w:ascii="Calibri" w:hAnsi="Calibri"/>
                <w:sz w:val="22"/>
              </w:rPr>
              <w:t>~$22B ("bit above $22B"); organic flat to up LSD; ~$250M Riello headwind</w:t>
            </w:r>
          </w:p>
        </w:tc>
        <w:tc>
          <w:tcPr>
            <w:tcW w:type="dxa" w:w="1728"/>
          </w:tcPr>
          <w:p>
            <w:r>
              <w:rPr>
                <w:rFonts w:ascii="Calibri" w:hAnsi="Calibri"/>
                <w:sz w:val="22"/>
              </w:rPr>
              <w:t>—</w:t>
            </w:r>
          </w:p>
        </w:tc>
        <w:tc>
          <w:tcPr>
            <w:tcW w:type="dxa" w:w="1728"/>
          </w:tcPr>
          <w:p>
            <w:r>
              <w:rPr>
                <w:rFonts w:ascii="Calibri" w:hAnsi="Calibri"/>
                <w:sz w:val="22"/>
              </w:rPr>
              <w:t>$22.31B</w:t>
            </w:r>
          </w:p>
        </w:tc>
        <w:tc>
          <w:tcPr>
            <w:tcW w:type="dxa" w:w="1728"/>
          </w:tcPr>
          <w:p>
            <w:r>
              <w:rPr>
                <w:rFonts w:ascii="Calibri" w:hAnsi="Calibri"/>
                <w:sz w:val="22"/>
              </w:rPr>
              <w:t>Unchanged. Consensus slightly above guide midpoint.</w:t>
            </w:r>
          </w:p>
        </w:tc>
      </w:tr>
      <w:tr>
        <w:tc>
          <w:tcPr>
            <w:tcW w:type="dxa" w:w="1728"/>
          </w:tcPr>
          <w:p>
            <w:r>
              <w:rPr>
                <w:rFonts w:ascii="Calibri" w:hAnsi="Calibri"/>
                <w:sz w:val="22"/>
              </w:rPr>
              <w:t>FY2026 Adj. Operating Profit</w:t>
            </w:r>
          </w:p>
        </w:tc>
        <w:tc>
          <w:tcPr>
            <w:tcW w:type="dxa" w:w="1728"/>
          </w:tcPr>
          <w:p>
            <w:r>
              <w:rPr>
                <w:rFonts w:ascii="Calibri" w:hAnsi="Calibri"/>
                <w:sz w:val="22"/>
              </w:rPr>
              <w:t>~$3.4B</w:t>
            </w:r>
          </w:p>
        </w:tc>
        <w:tc>
          <w:tcPr>
            <w:tcW w:type="dxa" w:w="1728"/>
          </w:tcPr>
          <w:p>
            <w:r>
              <w:rPr>
                <w:rFonts w:ascii="Calibri" w:hAnsi="Calibri"/>
                <w:sz w:val="22"/>
              </w:rPr>
              <w:t>—</w:t>
            </w:r>
          </w:p>
        </w:tc>
        <w:tc>
          <w:tcPr>
            <w:tcW w:type="dxa" w:w="1728"/>
          </w:tcPr>
          <w:p>
            <w:r>
              <w:rPr>
                <w:rFonts w:ascii="Calibri" w:hAnsi="Calibri"/>
                <w:sz w:val="22"/>
              </w:rPr>
              <w:t>~$3.43B (implied by margin/revenue)</w:t>
            </w:r>
          </w:p>
        </w:tc>
        <w:tc>
          <w:tcPr>
            <w:tcW w:type="dxa" w:w="1728"/>
          </w:tcPr>
          <w:p>
            <w:r>
              <w:rPr>
                <w:rFonts w:ascii="Calibri" w:hAnsi="Calibri"/>
                <w:sz w:val="22"/>
              </w:rPr>
              <w:t>Unchanged. No post-earnings revision.</w:t>
            </w:r>
          </w:p>
        </w:tc>
      </w:tr>
      <w:tr>
        <w:tc>
          <w:tcPr>
            <w:tcW w:type="dxa" w:w="1728"/>
          </w:tcPr>
          <w:p>
            <w:r>
              <w:rPr>
                <w:rFonts w:ascii="Calibri" w:hAnsi="Calibri"/>
                <w:sz w:val="22"/>
              </w:rPr>
              <w:t>FY2026 Adj. EPS</w:t>
            </w:r>
          </w:p>
        </w:tc>
        <w:tc>
          <w:tcPr>
            <w:tcW w:type="dxa" w:w="1728"/>
          </w:tcPr>
          <w:p>
            <w:r>
              <w:rPr>
                <w:rFonts w:ascii="Calibri" w:hAnsi="Calibri"/>
                <w:sz w:val="22"/>
              </w:rPr>
              <w:t>~$2.80 ("up high single digits vs. 2025")</w:t>
            </w:r>
          </w:p>
        </w:tc>
        <w:tc>
          <w:tcPr>
            <w:tcW w:type="dxa" w:w="1728"/>
          </w:tcPr>
          <w:p>
            <w:r>
              <w:rPr>
                <w:rFonts w:ascii="Calibri" w:hAnsi="Calibri"/>
                <w:sz w:val="22"/>
              </w:rPr>
              <w:t>—</w:t>
            </w:r>
          </w:p>
        </w:tc>
        <w:tc>
          <w:tcPr>
            <w:tcW w:type="dxa" w:w="1728"/>
          </w:tcPr>
          <w:p>
            <w:r>
              <w:rPr>
                <w:rFonts w:ascii="Calibri" w:hAnsi="Calibri"/>
                <w:sz w:val="22"/>
              </w:rPr>
              <w:t>$2.81</w:t>
            </w:r>
          </w:p>
        </w:tc>
        <w:tc>
          <w:tcPr>
            <w:tcW w:type="dxa" w:w="1728"/>
          </w:tcPr>
          <w:p>
            <w:r>
              <w:rPr>
                <w:rFonts w:ascii="Calibri" w:hAnsi="Calibri"/>
                <w:sz w:val="22"/>
              </w:rPr>
              <w:t>Unchanged. Consensus at guide.</w:t>
            </w:r>
          </w:p>
        </w:tc>
      </w:tr>
      <w:tr>
        <w:tc>
          <w:tcPr>
            <w:tcW w:type="dxa" w:w="1728"/>
          </w:tcPr>
          <w:p>
            <w:r>
              <w:rPr>
                <w:rFonts w:ascii="Calibri" w:hAnsi="Calibri"/>
                <w:sz w:val="22"/>
              </w:rPr>
              <w:t>FY2026 Free Cash Flow</w:t>
            </w:r>
          </w:p>
        </w:tc>
        <w:tc>
          <w:tcPr>
            <w:tcW w:type="dxa" w:w="1728"/>
          </w:tcPr>
          <w:p>
            <w:r>
              <w:rPr>
                <w:rFonts w:ascii="Calibri" w:hAnsi="Calibri"/>
                <w:sz w:val="22"/>
              </w:rPr>
              <w:t>~$2B</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per Q1 call.</w:t>
            </w:r>
          </w:p>
        </w:tc>
      </w:tr>
      <w:tr>
        <w:tc>
          <w:tcPr>
            <w:tcW w:type="dxa" w:w="1728"/>
          </w:tcPr>
          <w:p>
            <w:r>
              <w:rPr>
                <w:rFonts w:ascii="Calibri" w:hAnsi="Calibri"/>
                <w:sz w:val="22"/>
              </w:rPr>
              <w:t>FY2026 Net Pricing</w:t>
            </w:r>
          </w:p>
        </w:tc>
        <w:tc>
          <w:tcPr>
            <w:tcW w:type="dxa" w:w="1728"/>
          </w:tcPr>
          <w:p>
            <w:r>
              <w:rPr>
                <w:rFonts w:ascii="Calibri" w:hAnsi="Calibri"/>
                <w:sz w:val="22"/>
              </w:rPr>
              <w:t>~3 pts (incl. ~2 pts incremental for tariff offset)</w:t>
            </w:r>
          </w:p>
        </w:tc>
        <w:tc>
          <w:tcPr>
            <w:tcW w:type="dxa" w:w="1728"/>
          </w:tcPr>
          <w:p>
            <w:r>
              <w:rPr>
                <w:rFonts w:ascii="Calibri" w:hAnsi="Calibri"/>
                <w:sz w:val="22"/>
              </w:rPr>
              <w:t>Revised to ~2.5 pts; June 8 tariff reduction (25%→15%) reduced pricing need</w:t>
            </w:r>
          </w:p>
        </w:tc>
        <w:tc>
          <w:tcPr>
            <w:tcW w:type="dxa" w:w="1728"/>
          </w:tcPr>
          <w:p>
            <w:r>
              <w:rPr>
                <w:rFonts w:ascii="Calibri" w:hAnsi="Calibri"/>
                <w:sz w:val="22"/>
              </w:rPr>
              <w:t>N/A</w:t>
            </w:r>
          </w:p>
        </w:tc>
        <w:tc>
          <w:tcPr>
            <w:tcW w:type="dxa" w:w="1728"/>
          </w:tcPr>
          <w:p>
            <w:r>
              <w:rPr>
                <w:rFonts w:ascii="Calibri" w:hAnsi="Calibri"/>
                <w:sz w:val="22"/>
              </w:rPr>
              <w:t>↓ Modestly lowered post-June 8 presidential proclamation; still committed to dollar-for-dollar cost offset.</w:t>
            </w:r>
          </w:p>
        </w:tc>
      </w:tr>
      <w:tr>
        <w:tc>
          <w:tcPr>
            <w:tcW w:type="dxa" w:w="1728"/>
          </w:tcPr>
          <w:p>
            <w:r>
              <w:rPr>
                <w:rFonts w:ascii="Calibri" w:hAnsi="Calibri"/>
                <w:sz w:val="22"/>
              </w:rPr>
              <w:t>FY2026 CapEx</w:t>
            </w:r>
          </w:p>
        </w:tc>
        <w:tc>
          <w:tcPr>
            <w:tcW w:type="dxa" w:w="1728"/>
          </w:tcPr>
          <w:p>
            <w:r>
              <w:rPr>
                <w:rFonts w:ascii="Calibri" w:hAnsi="Calibri"/>
                <w:sz w:val="22"/>
              </w:rPr>
              <w:t>~$500M</w:t>
            </w:r>
          </w:p>
        </w:tc>
        <w:tc>
          <w:tcPr>
            <w:tcW w:type="dxa" w:w="1728"/>
          </w:tcPr>
          <w:p>
            <w:r>
              <w:rPr>
                <w:rFonts w:ascii="Calibri" w:hAnsi="Calibri"/>
                <w:sz w:val="22"/>
              </w:rPr>
              <w:t>~$600M (new North American data center mfg. facility planned)</w:t>
            </w:r>
          </w:p>
        </w:tc>
        <w:tc>
          <w:tcPr>
            <w:tcW w:type="dxa" w:w="1728"/>
          </w:tcPr>
          <w:p>
            <w:r>
              <w:rPr>
                <w:rFonts w:ascii="Calibri" w:hAnsi="Calibri"/>
                <w:sz w:val="22"/>
              </w:rPr>
              <w:t>N/A</w:t>
            </w:r>
          </w:p>
        </w:tc>
        <w:tc>
          <w:tcPr>
            <w:tcW w:type="dxa" w:w="1728"/>
          </w:tcPr>
          <w:p>
            <w:r>
              <w:rPr>
                <w:rFonts w:ascii="Calibri" w:hAnsi="Calibri"/>
                <w:sz w:val="22"/>
              </w:rPr>
              <w:t>↑ Raised; management signaled investors to expect formal announcement of new facility. Driven by data center demand conviction for 2027–2029.</w:t>
            </w:r>
          </w:p>
        </w:tc>
      </w:tr>
      <w:tr>
        <w:tc>
          <w:tcPr>
            <w:tcW w:type="dxa" w:w="1728"/>
          </w:tcPr>
          <w:p>
            <w:r>
              <w:rPr>
                <w:rFonts w:ascii="Calibri" w:hAnsi="Calibri"/>
                <w:sz w:val="22"/>
              </w:rPr>
              <w:t>Q2 2026 Revenue</w:t>
            </w:r>
          </w:p>
        </w:tc>
        <w:tc>
          <w:tcPr>
            <w:tcW w:type="dxa" w:w="1728"/>
          </w:tcPr>
          <w:p>
            <w:r>
              <w:rPr>
                <w:rFonts w:ascii="Calibri" w:hAnsi="Calibri"/>
                <w:sz w:val="22"/>
              </w:rPr>
              <w:t>"Just below $6B" (incl. ~$100M more Riello vs. prior guide; ~2 pts incremental pricing)</w:t>
            </w:r>
          </w:p>
        </w:tc>
        <w:tc>
          <w:tcPr>
            <w:tcW w:type="dxa" w:w="1728"/>
          </w:tcPr>
          <w:p>
            <w:r>
              <w:rPr>
                <w:rFonts w:ascii="Calibri" w:hAnsi="Calibri"/>
                <w:sz w:val="22"/>
              </w:rPr>
              <w:t>—</w:t>
            </w:r>
          </w:p>
        </w:tc>
        <w:tc>
          <w:tcPr>
            <w:tcW w:type="dxa" w:w="1728"/>
          </w:tcPr>
          <w:p>
            <w:r>
              <w:rPr>
                <w:rFonts w:ascii="Calibri" w:hAnsi="Calibri"/>
                <w:sz w:val="22"/>
              </w:rPr>
              <w:t>$6.014B</w:t>
            </w:r>
          </w:p>
        </w:tc>
        <w:tc>
          <w:tcPr>
            <w:tcW w:type="dxa" w:w="1728"/>
          </w:tcPr>
          <w:p>
            <w:r>
              <w:rPr>
                <w:rFonts w:ascii="Calibri" w:hAnsi="Calibri"/>
                <w:sz w:val="22"/>
              </w:rPr>
              <w:t>Consensus just above guide. Riello close expected by end of Q2.</w:t>
            </w:r>
          </w:p>
        </w:tc>
      </w:tr>
      <w:tr>
        <w:tc>
          <w:tcPr>
            <w:tcW w:type="dxa" w:w="1728"/>
          </w:tcPr>
          <w:p>
            <w:r>
              <w:rPr>
                <w:rFonts w:ascii="Calibri" w:hAnsi="Calibri"/>
                <w:sz w:val="22"/>
              </w:rPr>
              <w:t>Q2 2026 Adj. EPS</w:t>
            </w:r>
          </w:p>
        </w:tc>
        <w:tc>
          <w:tcPr>
            <w:tcW w:type="dxa" w:w="1728"/>
          </w:tcPr>
          <w:p>
            <w:r>
              <w:rPr>
                <w:rFonts w:ascii="Calibri" w:hAnsi="Calibri"/>
                <w:sz w:val="22"/>
              </w:rPr>
              <w:t>~$0.80</w:t>
            </w:r>
          </w:p>
        </w:tc>
        <w:tc>
          <w:tcPr>
            <w:tcW w:type="dxa" w:w="1728"/>
          </w:tcPr>
          <w:p>
            <w:r>
              <w:rPr>
                <w:rFonts w:ascii="Calibri" w:hAnsi="Calibri"/>
                <w:sz w:val="22"/>
              </w:rPr>
              <w:t>—</w:t>
            </w:r>
          </w:p>
        </w:tc>
        <w:tc>
          <w:tcPr>
            <w:tcW w:type="dxa" w:w="1728"/>
          </w:tcPr>
          <w:p>
            <w:r>
              <w:rPr>
                <w:rFonts w:ascii="Calibri" w:hAnsi="Calibri"/>
                <w:sz w:val="22"/>
              </w:rPr>
              <w:t>$0.81</w:t>
            </w:r>
          </w:p>
        </w:tc>
        <w:tc>
          <w:tcPr>
            <w:tcW w:type="dxa" w:w="1728"/>
          </w:tcPr>
          <w:p>
            <w:r>
              <w:rPr>
                <w:rFonts w:ascii="Calibri" w:hAnsi="Calibri"/>
                <w:sz w:val="22"/>
              </w:rPr>
              <w:t>Consensus +1.3% above guide.</w:t>
            </w:r>
          </w:p>
        </w:tc>
      </w:tr>
      <w:tr>
        <w:tc>
          <w:tcPr>
            <w:tcW w:type="dxa" w:w="1728"/>
          </w:tcPr>
          <w:p>
            <w:r>
              <w:rPr>
                <w:rFonts w:ascii="Calibri" w:hAnsi="Calibri"/>
                <w:sz w:val="22"/>
              </w:rPr>
              <w:t>Q2 2026 Adj. Operating Margin</w:t>
            </w:r>
          </w:p>
        </w:tc>
        <w:tc>
          <w:tcPr>
            <w:tcW w:type="dxa" w:w="1728"/>
          </w:tcPr>
          <w:p>
            <w:r>
              <w:rPr>
                <w:rFonts w:ascii="Calibri" w:hAnsi="Calibri"/>
                <w:sz w:val="22"/>
              </w:rPr>
              <w:t>~17%</w:t>
            </w:r>
          </w:p>
        </w:tc>
        <w:tc>
          <w:tcPr>
            <w:tcW w:type="dxa" w:w="1728"/>
          </w:tcPr>
          <w:p>
            <w:r>
              <w:rPr>
                <w:rFonts w:ascii="Calibri" w:hAnsi="Calibri"/>
                <w:sz w:val="22"/>
              </w:rPr>
              <w:t>—</w:t>
            </w:r>
          </w:p>
        </w:tc>
        <w:tc>
          <w:tcPr>
            <w:tcW w:type="dxa" w:w="1728"/>
          </w:tcPr>
          <w:p>
            <w:r>
              <w:rPr>
                <w:rFonts w:ascii="Calibri" w:hAnsi="Calibri"/>
                <w:sz w:val="22"/>
              </w:rPr>
              <w:t>~17.3%</w:t>
            </w:r>
          </w:p>
        </w:tc>
        <w:tc>
          <w:tcPr>
            <w:tcW w:type="dxa" w:w="1728"/>
          </w:tcPr>
          <w:p>
            <w:r>
              <w:rPr>
                <w:rFonts w:ascii="Calibri" w:hAnsi="Calibri"/>
                <w:sz w:val="22"/>
              </w:rPr>
              <w:t>Consensus slightly above guide; tariff price-cost timing a modest Q2 headwind per mgmt.</w:t>
            </w:r>
          </w:p>
        </w:tc>
      </w:tr>
      <w:tr>
        <w:tc>
          <w:tcPr>
            <w:tcW w:type="dxa" w:w="1728"/>
          </w:tcPr>
          <w:p>
            <w:r>
              <w:rPr>
                <w:rFonts w:ascii="Calibri" w:hAnsi="Calibri"/>
                <w:sz w:val="22"/>
              </w:rPr>
              <w:t>CSA Q2 Margin</w:t>
            </w:r>
          </w:p>
        </w:tc>
        <w:tc>
          <w:tcPr>
            <w:tcW w:type="dxa" w:w="1728"/>
          </w:tcPr>
          <w:p>
            <w:r>
              <w:rPr>
                <w:rFonts w:ascii="Calibri" w:hAnsi="Calibri"/>
                <w:sz w:val="22"/>
              </w:rPr>
              <w:t>~24%</w:t>
            </w:r>
          </w:p>
        </w:tc>
        <w:tc>
          <w:tcPr>
            <w:tcW w:type="dxa" w:w="1728"/>
          </w:tcPr>
          <w:p>
            <w:r>
              <w:rPr>
                <w:rFonts w:ascii="Calibri" w:hAnsi="Calibri"/>
                <w:sz w:val="22"/>
              </w:rPr>
              <w:t>—</w:t>
            </w:r>
          </w:p>
        </w:tc>
        <w:tc>
          <w:tcPr>
            <w:tcW w:type="dxa" w:w="1728"/>
          </w:tcPr>
          <w:p>
            <w:r>
              <w:rPr>
                <w:rFonts w:ascii="Calibri" w:hAnsi="Calibri"/>
                <w:sz w:val="22"/>
              </w:rPr>
              <w:t>~24.0%</w:t>
            </w:r>
          </w:p>
        </w:tc>
        <w:tc>
          <w:tcPr>
            <w:tcW w:type="dxa" w:w="1728"/>
          </w:tcPr>
          <w:p>
            <w:r>
              <w:rPr>
                <w:rFonts w:ascii="Calibri" w:hAnsi="Calibri"/>
                <w:sz w:val="22"/>
              </w:rPr>
              <w:t>At guide. Residential down ~mid-teens YoY expected; data center ramp weighted to 2H.</w:t>
            </w:r>
          </w:p>
        </w:tc>
      </w:tr>
      <w:tr>
        <w:tc>
          <w:tcPr>
            <w:tcW w:type="dxa" w:w="1728"/>
          </w:tcPr>
          <w:p>
            <w:r>
              <w:rPr>
                <w:rFonts w:ascii="Calibri" w:hAnsi="Calibri"/>
                <w:sz w:val="22"/>
              </w:rPr>
              <w:t>CSE Q2 Margin</w:t>
            </w:r>
          </w:p>
        </w:tc>
        <w:tc>
          <w:tcPr>
            <w:tcW w:type="dxa" w:w="1728"/>
          </w:tcPr>
          <w:p>
            <w:r>
              <w:rPr>
                <w:rFonts w:ascii="Calibri" w:hAnsi="Calibri"/>
                <w:sz w:val="22"/>
              </w:rPr>
              <w:t>~10%</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Europe organic sales guided low-SD positive; heat pump demand inflecting.</w:t>
            </w:r>
          </w:p>
        </w:tc>
      </w:tr>
    </w:tbl>
    <w:p>
      <w:r>
        <w:rPr>
          <w:rFonts w:ascii="Calibri" w:hAnsi="Calibri"/>
          <w:b/>
          <w:color w:val="525866"/>
          <w:sz w:val="22"/>
        </w:rPr>
        <w:t xml:space="preserve">Sources: </w:t>
      </w:r>
      <w:r>
        <w:rPr>
          <w:rFonts w:ascii="Calibri" w:hAnsi="Calibri"/>
          <w:color w:val="525866"/>
          <w:sz w:val="22"/>
        </w:rPr>
        <w:t>Q1 2026 Earnings Call transcript (April 30, 2026); Q1 2026 Earnings Release (April 30, 2026); Visible Alpha Consensus and Actuals Data (FY2026 consensus figures). Post-earnings tariff update sourced from CARR summary knowledge (June 8, 2026 presidential proclamation).</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the Q1 2026 print — Q2 EPS consensus moved only ~+$0.01 and FY2026 EPS is at the guided $2.80 — suggesting the street is tracking guidance rather than building in incremental upside. </w:t>
      </w:r>
      <w:r>
        <w:rPr>
          <w:rFonts w:ascii="Calibri" w:hAnsi="Calibri"/>
          <w:b/>
          <w:color w:val="525866"/>
          <w:sz w:val="22"/>
        </w:rPr>
        <w:t>The gap between current consensus and guidance is minimal, meaning any beat must come from execution, not estimate cushion.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Print (May 7, 2026)</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$5.996B</w:t>
            </w:r>
          </w:p>
        </w:tc>
        <w:tc>
          <w:tcPr>
            <w:tcW w:type="dxa" w:w="1080"/>
          </w:tcPr>
          <w:p>
            <w:r>
              <w:rPr>
                <w:rFonts w:ascii="Calibri" w:hAnsi="Calibri"/>
                <w:sz w:val="22"/>
              </w:rPr>
              <w:t>$6.014B</w:t>
            </w:r>
          </w:p>
        </w:tc>
        <w:tc>
          <w:tcPr>
            <w:tcW w:type="dxa" w:w="1080"/>
          </w:tcPr>
          <w:p>
            <w:r>
              <w:rPr>
                <w:rFonts w:ascii="Calibri" w:hAnsi="Calibri"/>
                <w:b/>
                <w:color w:val="30A46C"/>
                <w:sz w:val="22"/>
              </w:rPr>
              <w:t>+0.3%</w:t>
            </w:r>
          </w:p>
        </w:tc>
        <w:tc>
          <w:tcPr>
            <w:tcW w:type="dxa" w:w="1080"/>
          </w:tcPr>
          <w:p>
            <w:r>
              <w:rPr>
                <w:rFonts w:ascii="Calibri" w:hAnsi="Calibri"/>
                <w:sz w:val="22"/>
              </w:rPr>
              <w:t>"Just below $6B"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w:t>
            </w:r>
          </w:p>
        </w:tc>
      </w:tr>
      <w:tr>
        <w:tc>
          <w:tcPr>
            <w:tcW w:type="dxa" w:w="1080"/>
          </w:tcPr>
          <w:p>
            <w:r>
              <w:rPr>
                <w:rFonts w:ascii="Calibri" w:hAnsi="Calibri"/>
                <w:sz w:val="22"/>
              </w:rPr>
              <w:t>Revenue — FY2026</w:t>
            </w:r>
          </w:p>
        </w:tc>
        <w:tc>
          <w:tcPr>
            <w:tcW w:type="dxa" w:w="1080"/>
          </w:tcPr>
          <w:p>
            <w:r>
              <w:rPr>
                <w:rFonts w:ascii="Calibri" w:hAnsi="Calibri"/>
                <w:sz w:val="22"/>
              </w:rPr>
              <w:t>$22.303B</w:t>
            </w:r>
          </w:p>
        </w:tc>
        <w:tc>
          <w:tcPr>
            <w:tcW w:type="dxa" w:w="1080"/>
          </w:tcPr>
          <w:p>
            <w:r>
              <w:rPr>
                <w:rFonts w:ascii="Calibri" w:hAnsi="Calibri"/>
                <w:sz w:val="22"/>
              </w:rPr>
              <w:t>$22.311B</w:t>
            </w:r>
          </w:p>
        </w:tc>
        <w:tc>
          <w:tcPr>
            <w:tcW w:type="dxa" w:w="1080"/>
          </w:tcPr>
          <w:p>
            <w:r>
              <w:rPr>
                <w:rFonts w:ascii="Calibri" w:hAnsi="Calibri"/>
                <w:b/>
                <w:color w:val="30A46C"/>
                <w:sz w:val="22"/>
              </w:rPr>
              <w:t>+0.04%</w:t>
            </w:r>
          </w:p>
        </w:tc>
        <w:tc>
          <w:tcPr>
            <w:tcW w:type="dxa" w:w="1080"/>
          </w:tcPr>
          <w:p>
            <w:r>
              <w:rPr>
                <w:rFonts w:ascii="Calibri" w:hAnsi="Calibri"/>
                <w:sz w:val="22"/>
              </w:rPr>
              <w:t>~$22B</w:t>
            </w:r>
          </w:p>
        </w:tc>
        <w:tc>
          <w:tcPr>
            <w:tcW w:type="dxa" w:w="1080"/>
          </w:tcPr>
          <w:p>
            <w:r>
              <w:rPr>
                <w:rFonts w:ascii="Calibri" w:hAnsi="Calibri"/>
                <w:sz w:val="22"/>
              </w:rPr>
              <w:t>Unchanged (~$22B)</w:t>
            </w:r>
          </w:p>
        </w:tc>
        <w:tc>
          <w:tcPr>
            <w:tcW w:type="dxa" w:w="1080"/>
          </w:tcPr>
          <w:p>
            <w:r>
              <w:rPr>
                <w:rFonts w:ascii="Calibri" w:hAnsi="Calibri"/>
                <w:sz w:val="22"/>
              </w:rPr>
              <w:t>—</w:t>
            </w:r>
          </w:p>
        </w:tc>
        <w:tc>
          <w:tcPr>
            <w:tcW w:type="dxa" w:w="1080"/>
          </w:tcPr>
          <w:p>
            <w:r>
              <w:rPr>
                <w:rFonts w:ascii="Calibri" w:hAnsi="Calibri"/>
                <w:sz w:val="22"/>
              </w:rPr>
              <w:t>+1.4% above</w:t>
            </w:r>
          </w:p>
        </w:tc>
      </w:tr>
      <w:tr>
        <w:tc>
          <w:tcPr>
            <w:tcW w:type="dxa" w:w="1080"/>
          </w:tcPr>
          <w:p>
            <w:r>
              <w:rPr>
                <w:rFonts w:ascii="Calibri" w:hAnsi="Calibri"/>
                <w:sz w:val="22"/>
              </w:rPr>
              <w:t>Adj. EPS — Q2 2026</w:t>
            </w:r>
          </w:p>
        </w:tc>
        <w:tc>
          <w:tcPr>
            <w:tcW w:type="dxa" w:w="1080"/>
          </w:tcPr>
          <w:p>
            <w:r>
              <w:rPr>
                <w:rFonts w:ascii="Calibri" w:hAnsi="Calibri"/>
                <w:sz w:val="22"/>
              </w:rPr>
              <w:t>$0.801</w:t>
            </w:r>
          </w:p>
        </w:tc>
        <w:tc>
          <w:tcPr>
            <w:tcW w:type="dxa" w:w="1080"/>
          </w:tcPr>
          <w:p>
            <w:r>
              <w:rPr>
                <w:rFonts w:ascii="Calibri" w:hAnsi="Calibri"/>
                <w:sz w:val="22"/>
              </w:rPr>
              <w:t>$0.806</w:t>
            </w:r>
          </w:p>
        </w:tc>
        <w:tc>
          <w:tcPr>
            <w:tcW w:type="dxa" w:w="1080"/>
          </w:tcPr>
          <w:p>
            <w:r>
              <w:rPr>
                <w:rFonts w:ascii="Calibri" w:hAnsi="Calibri"/>
                <w:b/>
                <w:color w:val="30A46C"/>
                <w:sz w:val="22"/>
              </w:rPr>
              <w:t>+0.6%</w:t>
            </w:r>
          </w:p>
        </w:tc>
        <w:tc>
          <w:tcPr>
            <w:tcW w:type="dxa" w:w="1080"/>
          </w:tcPr>
          <w:p>
            <w:r>
              <w:rPr>
                <w:rFonts w:ascii="Calibri" w:hAnsi="Calibri"/>
                <w:sz w:val="22"/>
              </w:rPr>
              <w:t>~$0.80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+0.8% above</w:t>
            </w:r>
          </w:p>
        </w:tc>
      </w:tr>
      <w:tr>
        <w:tc>
          <w:tcPr>
            <w:tcW w:type="dxa" w:w="1080"/>
          </w:tcPr>
          <w:p>
            <w:r>
              <w:rPr>
                <w:rFonts w:ascii="Calibri" w:hAnsi="Calibri"/>
                <w:sz w:val="22"/>
              </w:rPr>
              <w:t>Adj. EPS — FY2026</w:t>
            </w:r>
          </w:p>
        </w:tc>
        <w:tc>
          <w:tcPr>
            <w:tcW w:type="dxa" w:w="1080"/>
          </w:tcPr>
          <w:p>
            <w:r>
              <w:rPr>
                <w:rFonts w:ascii="Calibri" w:hAnsi="Calibri"/>
                <w:sz w:val="22"/>
              </w:rPr>
              <w:t>$2.807</w:t>
            </w:r>
          </w:p>
        </w:tc>
        <w:tc>
          <w:tcPr>
            <w:tcW w:type="dxa" w:w="1080"/>
          </w:tcPr>
          <w:p>
            <w:r>
              <w:rPr>
                <w:rFonts w:ascii="Calibri" w:hAnsi="Calibri"/>
                <w:sz w:val="22"/>
              </w:rPr>
              <w:t>$2.806</w:t>
            </w:r>
          </w:p>
        </w:tc>
        <w:tc>
          <w:tcPr>
            <w:tcW w:type="dxa" w:w="1080"/>
          </w:tcPr>
          <w:p>
            <w:r>
              <w:rPr>
                <w:rFonts w:ascii="Calibri" w:hAnsi="Calibri"/>
                <w:sz w:val="22"/>
              </w:rPr>
              <w:t>-0.04%</w:t>
            </w:r>
          </w:p>
        </w:tc>
        <w:tc>
          <w:tcPr>
            <w:tcW w:type="dxa" w:w="1080"/>
          </w:tcPr>
          <w:p>
            <w:r>
              <w:rPr>
                <w:rFonts w:ascii="Calibri" w:hAnsi="Calibri"/>
                <w:sz w:val="22"/>
              </w:rPr>
              <w:t>~$2.80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w:t>
            </w:r>
          </w:p>
        </w:tc>
      </w:tr>
      <w:tr>
        <w:tc>
          <w:tcPr>
            <w:tcW w:type="dxa" w:w="1080"/>
          </w:tcPr>
          <w:p>
            <w:r>
              <w:rPr>
                <w:rFonts w:ascii="Calibri" w:hAnsi="Calibri"/>
                <w:sz w:val="22"/>
              </w:rPr>
              <w:t>Adj. Operating Margin — Q2 2026</w:t>
            </w:r>
          </w:p>
        </w:tc>
        <w:tc>
          <w:tcPr>
            <w:tcW w:type="dxa" w:w="1080"/>
          </w:tcPr>
          <w:p>
            <w:r>
              <w:rPr>
                <w:rFonts w:ascii="Calibri" w:hAnsi="Calibri"/>
                <w:sz w:val="22"/>
              </w:rPr>
              <w:t>17.26%</w:t>
            </w:r>
          </w:p>
        </w:tc>
        <w:tc>
          <w:tcPr>
            <w:tcW w:type="dxa" w:w="1080"/>
          </w:tcPr>
          <w:p>
            <w:r>
              <w:rPr>
                <w:rFonts w:ascii="Calibri" w:hAnsi="Calibri"/>
                <w:sz w:val="22"/>
              </w:rPr>
              <w:t>17.29%</w:t>
            </w:r>
          </w:p>
        </w:tc>
        <w:tc>
          <w:tcPr>
            <w:tcW w:type="dxa" w:w="1080"/>
          </w:tcPr>
          <w:p>
            <w:r>
              <w:rPr>
                <w:rFonts w:ascii="Calibri" w:hAnsi="Calibri"/>
                <w:sz w:val="22"/>
              </w:rPr>
              <w:t>+3bps</w:t>
            </w:r>
          </w:p>
        </w:tc>
        <w:tc>
          <w:tcPr>
            <w:tcW w:type="dxa" w:w="1080"/>
          </w:tcPr>
          <w:p>
            <w:r>
              <w:rPr>
                <w:rFonts w:ascii="Calibri" w:hAnsi="Calibri"/>
                <w:sz w:val="22"/>
              </w:rPr>
              <w:t>~17%</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+29bps above</w:t>
            </w:r>
          </w:p>
        </w:tc>
      </w:tr>
      <w:tr>
        <w:tc>
          <w:tcPr>
            <w:tcW w:type="dxa" w:w="1080"/>
          </w:tcPr>
          <w:p>
            <w:r>
              <w:rPr>
                <w:rFonts w:ascii="Calibri" w:hAnsi="Calibri"/>
                <w:sz w:val="22"/>
              </w:rPr>
              <w:t>Adj. Operating Margin — FY2026</w:t>
            </w:r>
          </w:p>
        </w:tc>
        <w:tc>
          <w:tcPr>
            <w:tcW w:type="dxa" w:w="1080"/>
          </w:tcPr>
          <w:p>
            <w:r>
              <w:rPr>
                <w:rFonts w:ascii="Calibri" w:hAnsi="Calibri"/>
                <w:sz w:val="22"/>
              </w:rPr>
              <w:t>15.38%</w:t>
            </w:r>
          </w:p>
        </w:tc>
        <w:tc>
          <w:tcPr>
            <w:tcW w:type="dxa" w:w="1080"/>
          </w:tcPr>
          <w:p>
            <w:r>
              <w:rPr>
                <w:rFonts w:ascii="Calibri" w:hAnsi="Calibri"/>
                <w:sz w:val="22"/>
              </w:rPr>
              <w:t>15.38%</w:t>
            </w:r>
          </w:p>
        </w:tc>
        <w:tc>
          <w:tcPr>
            <w:tcW w:type="dxa" w:w="1080"/>
          </w:tcPr>
          <w:p>
            <w:r>
              <w:rPr>
                <w:rFonts w:ascii="Calibri" w:hAnsi="Calibri"/>
                <w:sz w:val="22"/>
              </w:rPr>
              <w:t>Flat</w:t>
            </w:r>
          </w:p>
        </w:tc>
        <w:tc>
          <w:tcPr>
            <w:tcW w:type="dxa" w:w="1080"/>
          </w:tcPr>
          <w:p>
            <w:r>
              <w:rPr>
                <w:rFonts w:ascii="Calibri" w:hAnsi="Calibri"/>
                <w:sz w:val="22"/>
              </w:rPr>
              <w:t>Implied ~15.5%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~-10bps below</w:t>
            </w:r>
          </w:p>
        </w:tc>
      </w:tr>
      <w:tr>
        <w:tc>
          <w:tcPr>
            <w:tcW w:type="dxa" w:w="1080"/>
          </w:tcPr>
          <w:p>
            <w:r>
              <w:rPr>
                <w:rFonts w:ascii="Calibri" w:hAnsi="Calibri"/>
                <w:sz w:val="22"/>
              </w:rPr>
              <w:t>CSA Revenue — Q2 2026</w:t>
            </w:r>
          </w:p>
        </w:tc>
        <w:tc>
          <w:tcPr>
            <w:tcW w:type="dxa" w:w="1080"/>
          </w:tcPr>
          <w:p>
            <w:r>
              <w:rPr>
                <w:rFonts w:ascii="Calibri" w:hAnsi="Calibri"/>
                <w:sz w:val="22"/>
              </w:rPr>
              <w:t>$3.099B</w:t>
            </w:r>
          </w:p>
        </w:tc>
        <w:tc>
          <w:tcPr>
            <w:tcW w:type="dxa" w:w="1080"/>
          </w:tcPr>
          <w:p>
            <w:r>
              <w:rPr>
                <w:rFonts w:ascii="Calibri" w:hAnsi="Calibri"/>
                <w:sz w:val="22"/>
              </w:rPr>
              <w:t>$3.114B</w:t>
            </w:r>
          </w:p>
        </w:tc>
        <w:tc>
          <w:tcPr>
            <w:tcW w:type="dxa" w:w="1080"/>
          </w:tcPr>
          <w:p>
            <w:r>
              <w:rPr>
                <w:rFonts w:ascii="Calibri" w:hAnsi="Calibri"/>
                <w:b/>
                <w:color w:val="30A46C"/>
                <w:sz w:val="22"/>
              </w:rPr>
              <w:t>+0.5%</w:t>
            </w:r>
          </w:p>
        </w:tc>
        <w:tc>
          <w:tcPr>
            <w:tcW w:type="dxa" w:w="1080"/>
          </w:tcPr>
          <w:p>
            <w:r>
              <w:rPr>
                <w:rFonts w:ascii="Calibri" w:hAnsi="Calibri"/>
                <w:sz w:val="22"/>
              </w:rPr>
              <w:t>~Mid-SD down organic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range</w:t>
            </w:r>
          </w:p>
        </w:tc>
      </w:tr>
    </w:tbl>
    <w:p>
      <w:r>
        <w:rPr>
          <w:rFonts w:ascii="Calibri" w:hAnsi="Calibri"/>
          <w:b/>
          <w:color w:val="525866"/>
          <w:sz w:val="22"/>
        </w:rPr>
        <w:t xml:space="preserve">Sources: </w:t>
      </w:r>
      <w:r>
        <w:rPr>
          <w:rFonts w:ascii="Calibri" w:hAnsi="Calibri"/>
          <w:color w:val="525866"/>
          <w:sz w:val="22"/>
        </w:rPr>
        <w:t>Visible Alpha Consensus and Actuals Data (all estimate figures; as-of May 7, 2026 baseline and current July 27, 2026 consensus). Guidance from Q1 2026 Earnings Call transcript (April 30, 2026). Estimate Δ computed from VA point-in-time data.</w:t>
      </w:r>
    </w:p>
    <w:p>
      <w:r>
        <w:rPr>
          <w:rFonts w:ascii="Calibri" w:hAnsi="Calibri"/>
          <w:b/>
          <w:color w:val="525866"/>
          <w:sz w:val="22"/>
        </w:rPr>
        <w:t xml:space="preserve">Commentary: </w:t>
      </w:r>
      <w:r>
        <w:rPr>
          <w:rFonts w:ascii="Calibri" w:hAnsi="Calibri"/>
          <w:color w:val="525866"/>
          <w:sz w:val="22"/>
        </w:rPr>
        <w:t>The near-zero revision delta across all KPIs since the Q1 print is notable — it reflects a street that has essentially anchored to management's guidance rather than building in incremental upside from the Q1 beat. The FY2026 EPS consensus of $2.806 is within rounding of the guided $2.80, leaving no embedded cushion. Any Q2 beat would need to come from execution outperformance (residential sell-through better than guided mid-teens decline, data center deliveries ahead of schedule, or tariff price-cost better than the guided "small headwind") rather than from a low bar.</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CARR has underperformed XLI by ~2pts since the Q1 print despite a broad beat, suggesting the market is waiting for 2H data center delivery proof rather than rewarding the Q1 upside. </w:t>
      </w:r>
      <w:r>
        <w:rPr>
          <w:rFonts w:ascii="Calibri" w:hAnsi="Calibri"/>
          <w:b/>
          <w:color w:val="525866"/>
          <w:sz w:val="22"/>
        </w:rPr>
        <w:t>The recent ~9% pullback from the late-June peak (~$76) has compressed the multiple back toward the lower end of its recent range</w:t>
      </w:r>
      <w:r>
        <w:rPr>
          <w:rFonts w:ascii="Calibri" w:hAnsi="Calibri"/>
          <w:color w:val="525866"/>
          <w:sz w:val="22"/>
        </w:rPr>
        <w:t>, creating a more constructive entry setup into Q2 earnings.</w:t>
      </w:r>
    </w:p>
    <w:p>
      <w:r>
        <w:rPr>
          <w:rFonts w:ascii="Calibri" w:hAnsi="Calibri"/>
          <w:color w:val="525866"/>
          <w:sz w:val="22"/>
        </w:rPr>
        <w:t xml:space="preserve">Since the Q1 2026 earnings date (April 30, 2026), CARR has gained approximately </w:t>
      </w:r>
      <w:r>
        <w:rPr>
          <w:rFonts w:ascii="Calibri" w:hAnsi="Calibri"/>
          <w:b/>
          <w:color w:val="525866"/>
          <w:sz w:val="22"/>
        </w:rPr>
        <w:t>+3.2%</w:t>
      </w:r>
      <w:r>
        <w:rPr>
          <w:rFonts w:ascii="Calibri" w:hAnsi="Calibri"/>
          <w:color w:val="525866"/>
          <w:sz w:val="22"/>
        </w:rPr>
        <w:t xml:space="preserve"> (from $67.17 to $69.33 as of July 28, 2026 open), compared to XLI +5.0% and SPY +2.8%. The stock peaked at ~$76 on June 25 — a ~+13% gain from the Q1 print — before pulling back ~9% through mid-July, driven by broader industrial sector rotation and some profit-taking. The NTM EV/EBITDA multiple has compressed from ~15.5x (one month ago) to ~14.4x currently, which is below the 12-month average of ~15.0x, suggesting the stock is not pricing in a beat. The 6-month performance (+21%) has been driven roughly equally by multiple expansion (+11%) and earnings growth, consistent with the data center re-rating thesis. The 12-month performance (-13%) reflects the residential downturn de-rating that began in mid-2025. Key events since the Q1 print: (1) June 8 — presidential proclamation reducing residential HVAC tariff from 25% to 15% (stock +5.7% that day); (2) June 9 — CSC Europe leadership transition announced (Thomas Donato replacing Thomas Heim); (3) July 7 — Q2 earnings advisory (date confirmation); (4) July 24 — Neil Barua (PTC CEO) appointed to Board.</w:t>
      </w:r>
    </w:p>
    <w:p>
      <w:r>
        <w:rPr>
          <w:rFonts w:ascii="Calibri" w:hAnsi="Calibri"/>
          <w:b/>
          <w:color w:val="525866"/>
          <w:sz w:val="22"/>
        </w:rPr>
        <w:t>Indexed Performance Table (Base = 100 at April 30, 2026 close):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CARR (Indexed)</w:t>
            </w:r>
          </w:p>
        </w:tc>
        <w:tc>
          <w:tcPr>
            <w:tcW w:type="dxa" w:w="2160"/>
            <w:shd w:val="clear" w:color="auto" w:fill="3B4259"/>
          </w:tcPr>
          <w:p>
            <w:r>
              <w:rPr>
                <w:rFonts w:ascii="Calibri" w:hAnsi="Calibri"/>
                <w:b/>
                <w:color w:val="FFFFFF"/>
                <w:sz w:val="22"/>
              </w:rPr>
              <w:t>XLI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30, 2026 (Q1 Print)</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19, 2026 (trough)</w:t>
            </w:r>
          </w:p>
        </w:tc>
        <w:tc>
          <w:tcPr>
            <w:tcW w:type="dxa" w:w="2160"/>
          </w:tcPr>
          <w:p>
            <w:r>
              <w:rPr>
                <w:rFonts w:ascii="Calibri" w:hAnsi="Calibri"/>
                <w:sz w:val="22"/>
              </w:rPr>
              <w:t>91.5</w:t>
            </w:r>
          </w:p>
        </w:tc>
        <w:tc>
          <w:tcPr>
            <w:tcW w:type="dxa" w:w="2160"/>
          </w:tcPr>
          <w:p>
            <w:r>
              <w:rPr>
                <w:rFonts w:ascii="Calibri" w:hAnsi="Calibri"/>
                <w:sz w:val="22"/>
              </w:rPr>
              <w:t>96.7</w:t>
            </w:r>
          </w:p>
        </w:tc>
        <w:tc>
          <w:tcPr>
            <w:tcW w:type="dxa" w:w="2160"/>
          </w:tcPr>
          <w:p>
            <w:r>
              <w:rPr>
                <w:rFonts w:ascii="Calibri" w:hAnsi="Calibri"/>
                <w:sz w:val="22"/>
              </w:rPr>
              <w:t>102.1</w:t>
            </w:r>
          </w:p>
        </w:tc>
      </w:tr>
      <w:tr>
        <w:tc>
          <w:tcPr>
            <w:tcW w:type="dxa" w:w="2160"/>
          </w:tcPr>
          <w:p>
            <w:r>
              <w:rPr>
                <w:rFonts w:ascii="Calibri" w:hAnsi="Calibri"/>
                <w:sz w:val="22"/>
              </w:rPr>
              <w:t>Jun 8, 2026 (tariff relief)</w:t>
            </w:r>
          </w:p>
        </w:tc>
        <w:tc>
          <w:tcPr>
            <w:tcW w:type="dxa" w:w="2160"/>
          </w:tcPr>
          <w:p>
            <w:r>
              <w:rPr>
                <w:rFonts w:ascii="Calibri" w:hAnsi="Calibri"/>
                <w:sz w:val="22"/>
              </w:rPr>
              <w:t>100.3</w:t>
            </w:r>
          </w:p>
        </w:tc>
        <w:tc>
          <w:tcPr>
            <w:tcW w:type="dxa" w:w="2160"/>
          </w:tcPr>
          <w:p>
            <w:r>
              <w:rPr>
                <w:rFonts w:ascii="Calibri" w:hAnsi="Calibri"/>
                <w:sz w:val="22"/>
              </w:rPr>
              <w:t>99.5</w:t>
            </w:r>
          </w:p>
        </w:tc>
        <w:tc>
          <w:tcPr>
            <w:tcW w:type="dxa" w:w="2160"/>
          </w:tcPr>
          <w:p>
            <w:r>
              <w:rPr>
                <w:rFonts w:ascii="Calibri" w:hAnsi="Calibri"/>
                <w:sz w:val="22"/>
              </w:rPr>
              <w:t>102.9</w:t>
            </w:r>
          </w:p>
        </w:tc>
      </w:tr>
      <w:tr>
        <w:tc>
          <w:tcPr>
            <w:tcW w:type="dxa" w:w="2160"/>
          </w:tcPr>
          <w:p>
            <w:r>
              <w:rPr>
                <w:rFonts w:ascii="Calibri" w:hAnsi="Calibri"/>
                <w:sz w:val="22"/>
              </w:rPr>
              <w:t>Jun 25, 2026 (peak)</w:t>
            </w:r>
          </w:p>
        </w:tc>
        <w:tc>
          <w:tcPr>
            <w:tcW w:type="dxa" w:w="2160"/>
          </w:tcPr>
          <w:p>
            <w:r>
              <w:rPr>
                <w:rFonts w:ascii="Calibri" w:hAnsi="Calibri"/>
                <w:sz w:val="22"/>
              </w:rPr>
              <w:t>113.2</w:t>
            </w:r>
          </w:p>
        </w:tc>
        <w:tc>
          <w:tcPr>
            <w:tcW w:type="dxa" w:w="2160"/>
          </w:tcPr>
          <w:p>
            <w:r>
              <w:rPr>
                <w:rFonts w:ascii="Calibri" w:hAnsi="Calibri"/>
                <w:sz w:val="22"/>
              </w:rPr>
              <w:t>105.5</w:t>
            </w:r>
          </w:p>
        </w:tc>
        <w:tc>
          <w:tcPr>
            <w:tcW w:type="dxa" w:w="2160"/>
          </w:tcPr>
          <w:p>
            <w:r>
              <w:rPr>
                <w:rFonts w:ascii="Calibri" w:hAnsi="Calibri"/>
                <w:sz w:val="22"/>
              </w:rPr>
              <w:t>102.2</w:t>
            </w:r>
          </w:p>
        </w:tc>
      </w:tr>
      <w:tr>
        <w:tc>
          <w:tcPr>
            <w:tcW w:type="dxa" w:w="2160"/>
          </w:tcPr>
          <w:p>
            <w:r>
              <w:rPr>
                <w:rFonts w:ascii="Calibri" w:hAnsi="Calibri"/>
                <w:sz w:val="22"/>
              </w:rPr>
              <w:t>Jul 28, 2026 (latest)</w:t>
            </w:r>
          </w:p>
        </w:tc>
        <w:tc>
          <w:tcPr>
            <w:tcW w:type="dxa" w:w="2160"/>
          </w:tcPr>
          <w:p>
            <w:r>
              <w:rPr>
                <w:rFonts w:ascii="Calibri" w:hAnsi="Calibri"/>
                <w:sz w:val="22"/>
              </w:rPr>
              <w:t>103.2</w:t>
            </w:r>
          </w:p>
        </w:tc>
        <w:tc>
          <w:tcPr>
            <w:tcW w:type="dxa" w:w="2160"/>
          </w:tcPr>
          <w:p>
            <w:r>
              <w:rPr>
                <w:rFonts w:ascii="Calibri" w:hAnsi="Calibri"/>
                <w:sz w:val="22"/>
              </w:rPr>
              <w:t>105.0</w:t>
            </w:r>
          </w:p>
        </w:tc>
        <w:tc>
          <w:tcPr>
            <w:tcW w:type="dxa" w:w="2160"/>
          </w:tcPr>
          <w:p>
            <w:r>
              <w:rPr>
                <w:rFonts w:ascii="Calibri" w:hAnsi="Calibri"/>
                <w:sz w:val="22"/>
              </w:rPr>
              <w:t>102.8</w:t>
            </w:r>
          </w:p>
        </w:tc>
      </w:tr>
    </w:tbl>
    <w:p>
      <w:r>
        <w:rPr>
          <w:rFonts w:ascii="Calibri" w:hAnsi="Calibri"/>
          <w:b/>
          <w:color w:val="525866"/>
          <w:sz w:val="22"/>
        </w:rPr>
        <w:t xml:space="preserve">Source: </w:t>
      </w:r>
      <w:r>
        <w:rPr>
          <w:rFonts w:ascii="Calibri" w:hAnsi="Calibri"/>
          <w:color w:val="525866"/>
          <w:sz w:val="22"/>
        </w:rPr>
        <w:t>Stock Price Data (Yahoo Finance). Indexed to April 30, 2026 closing prices: CARR $67.17, XLI $174.58, SPY $718.66. XLI (Industrial Select Sector SPDR ETF) used as sector benchmark — appropriate for CARR's industrial/HVAC sub-sector classification.</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June 8 tariff relief on residential HVAC (25%→15%)</w:t>
      </w:r>
      <w:r>
        <w:rPr>
          <w:rFonts w:ascii="Calibri" w:hAnsi="Calibri"/>
          <w:color w:val="525866"/>
          <w:sz w:val="22"/>
        </w:rPr>
        <w:t>, which partially unwinds the pricing actions Carrier had already implemented — a net positive for volume but a modest negative for the pricing line. The data center capacity investment escalation (CapEx ~$500M→~$600M) is the most significant strategic signal for the 2027 setup.</w:t>
      </w:r>
    </w:p>
    <w:p>
      <w:pPr>
        <w:pStyle w:val="ListBullet"/>
        <w:ind w:left="360" w:hanging="360"/>
      </w:pPr>
      <w:r>
        <w:rPr>
          <w:rFonts w:ascii="Calibri" w:hAnsi="Calibri"/>
          <w:b/>
          <w:color w:val="525866"/>
          <w:sz w:val="22"/>
        </w:rPr>
        <w:t>June 8, 2026 — Presidential Proclamation: Residential HVAC Section 232 tariff reduced from 25% to 15%</w:t>
      </w:r>
      <w:r>
        <w:rPr>
          <w:rFonts w:ascii="Calibri" w:hAnsi="Calibri"/>
          <w:i/>
          <w:color w:val="525866"/>
          <w:sz w:val="22"/>
        </w:rPr>
        <w:t xml:space="preserve"> (with path to 10% for products with ≥85% US steel content). CARR stock +5.7% on the day. Management subsequently revised full-year net pricing expectation modestly lower to ~2.5 pts (from ~3 pts), while reaffirming dollar-for-dollar cost offset commitment. Some SKUs may remain at 15% due to US steel sourcing constraints. </w:t>
      </w:r>
      <w:r>
        <w:rPr>
          <w:rFonts w:ascii="Calibri" w:hAnsi="Calibri"/>
          <w:b/>
          <w:color w:val="525866"/>
          <w:sz w:val="22"/>
        </w:rPr>
        <w:t xml:space="preserve">Implication: </w:t>
      </w:r>
      <w:r>
        <w:rPr>
          <w:rFonts w:ascii="Calibri" w:hAnsi="Calibri"/>
          <w:color w:val="525866"/>
          <w:sz w:val="22"/>
        </w:rPr>
        <w:t>Reduces the pricing tailwind slightly but improves volume competitiveness in residential; net neutral to slightly positive for the full-year P&amp;L.</w:t>
      </w:r>
    </w:p>
    <w:p>
      <w:pPr>
        <w:pStyle w:val="ListBullet"/>
        <w:ind w:left="360" w:hanging="360"/>
      </w:pPr>
      <w:r>
        <w:rPr>
          <w:rFonts w:ascii="Calibri" w:hAnsi="Calibri"/>
          <w:b/>
          <w:color w:val="525866"/>
          <w:sz w:val="22"/>
        </w:rPr>
        <w:t>June 9, 2026 — CSC Europe Leadership Transition:</w:t>
      </w:r>
      <w:r>
        <w:rPr>
          <w:rFonts w:ascii="Calibri" w:hAnsi="Calibri"/>
          <w:i/>
          <w:color w:val="525866"/>
          <w:sz w:val="22"/>
        </w:rPr>
        <w:t xml:space="preserve"> Thomas Heim (outgoing President, Climate Solutions Europe) replaced by Thomas Donato (formerly ABB, Rockwell Automation ~17 years, Bosch Power Tools), effective June 9, 2026. Management credited Heim with successfully integrating Viessmann Climate Solutions. </w:t>
      </w:r>
      <w:r>
        <w:rPr>
          <w:rFonts w:ascii="Calibri" w:hAnsi="Calibri"/>
          <w:b/>
          <w:color w:val="525866"/>
          <w:sz w:val="22"/>
        </w:rPr>
        <w:t xml:space="preserve">Implication: </w:t>
      </w:r>
      <w:r>
        <w:rPr>
          <w:rFonts w:ascii="Calibri" w:hAnsi="Calibri"/>
          <w:color w:val="525866"/>
          <w:sz w:val="22"/>
        </w:rPr>
        <w:t>Leadership change mid-year in a recovering European heat pump market introduces modest execution risk; Donato's industrial automation background could accelerate digital/controls integration in CSE.</w:t>
      </w:r>
    </w:p>
    <w:p>
      <w:pPr>
        <w:pStyle w:val="ListBullet"/>
        <w:ind w:left="360" w:hanging="360"/>
      </w:pPr>
      <w:r>
        <w:rPr>
          <w:rFonts w:ascii="Calibri" w:hAnsi="Calibri"/>
          <w:b/>
          <w:color w:val="525866"/>
          <w:sz w:val="22"/>
        </w:rPr>
        <w:t>Post-Q1 2026 — Data Center CapEx Escalation (~$500M→~$600M):</w:t>
      </w:r>
      <w:r>
        <w:rPr>
          <w:rFonts w:ascii="Calibri" w:hAnsi="Calibri"/>
          <w:i/>
          <w:color w:val="525866"/>
          <w:sz w:val="22"/>
        </w:rPr>
        <w:t xml:space="preserve"> Management signaled investors to expect a formal announcement of a new North American manufacturing facility to support data center demand in 2027–2029. Conviction on 2027 demand described as "significantly higher" than two months prior, driven by new order wins and LTA discussions with hyperscalers and colos. </w:t>
      </w:r>
      <w:r>
        <w:rPr>
          <w:rFonts w:ascii="Calibri" w:hAnsi="Calibri"/>
          <w:b/>
          <w:color w:val="525866"/>
          <w:sz w:val="22"/>
        </w:rPr>
        <w:t xml:space="preserve">Implication: </w:t>
      </w:r>
      <w:r>
        <w:rPr>
          <w:rFonts w:ascii="Calibri" w:hAnsi="Calibri"/>
          <w:color w:val="525866"/>
          <w:sz w:val="22"/>
        </w:rPr>
        <w:t>Bullish signal on multi-year data center revenue visibility; CapEx increase is modest relative to FCF (~$2B guided) but signals management is committing to capacity ahead of demand.</w:t>
      </w:r>
    </w:p>
    <w:p>
      <w:pPr>
        <w:pStyle w:val="ListBullet"/>
        <w:ind w:left="360" w:hanging="360"/>
      </w:pPr>
      <w:r>
        <w:rPr>
          <w:rFonts w:ascii="Calibri" w:hAnsi="Calibri"/>
          <w:b/>
          <w:color w:val="525866"/>
          <w:sz w:val="22"/>
        </w:rPr>
        <w:t>Post-Q1 2026 — ZutaCore Investment Expanded:</w:t>
      </w:r>
      <w:r>
        <w:rPr>
          <w:rFonts w:ascii="Calibri" w:hAnsi="Calibri"/>
          <w:i/>
          <w:color w:val="525866"/>
          <w:sz w:val="22"/>
        </w:rPr>
        <w:t xml:space="preserve"> Carrier announced expanded investment in ZutaCore (two-phase liquid cooling technology partner) during the week of April 30, 2026. Complements the organic CDU roadmap (1MW CDU launched, 3MW expected Q3 2026, 5MW by year-end/early 2027). </w:t>
      </w:r>
      <w:r>
        <w:rPr>
          <w:rFonts w:ascii="Calibri" w:hAnsi="Calibri"/>
          <w:b/>
          <w:color w:val="525866"/>
          <w:sz w:val="22"/>
        </w:rPr>
        <w:t xml:space="preserve">Implication: </w:t>
      </w:r>
      <w:r>
        <w:rPr>
          <w:rFonts w:ascii="Calibri" w:hAnsi="Calibri"/>
          <w:color w:val="525866"/>
          <w:sz w:val="22"/>
        </w:rPr>
        <w:t>Positions Carrier in next-generation liquid cooling without large M&amp;A; bolt-on approach consistent with management's stated discipline.</w:t>
      </w:r>
    </w:p>
    <w:p>
      <w:pPr>
        <w:pStyle w:val="ListBullet"/>
        <w:ind w:left="360" w:hanging="360"/>
      </w:pPr>
      <w:r>
        <w:rPr>
          <w:rFonts w:ascii="Calibri" w:hAnsi="Calibri"/>
          <w:b/>
          <w:color w:val="525866"/>
          <w:sz w:val="22"/>
        </w:rPr>
        <w:t>July 24, 2026 — Neil Barua Appointed Independent Director:</w:t>
      </w:r>
      <w:r>
        <w:rPr>
          <w:rFonts w:ascii="Calibri" w:hAnsi="Calibri"/>
          <w:i/>
          <w:color w:val="525866"/>
          <w:sz w:val="22"/>
        </w:rPr>
        <w:t xml:space="preserve"> Barua is President &amp; CEO of PTC Inc. (industrial AI/digital transformation software). Appointed to Technology &amp; Innovation and Compensation Committees. </w:t>
      </w:r>
      <w:r>
        <w:rPr>
          <w:rFonts w:ascii="Calibri" w:hAnsi="Calibri"/>
          <w:b/>
          <w:color w:val="525866"/>
          <w:sz w:val="22"/>
        </w:rPr>
        <w:t xml:space="preserve">Implication: </w:t>
      </w:r>
      <w:r>
        <w:rPr>
          <w:rFonts w:ascii="Calibri" w:hAnsi="Calibri"/>
          <w:color w:val="525866"/>
          <w:sz w:val="22"/>
        </w:rPr>
        <w:t>Strengthens board expertise in AI-enabled industrial software — relevant to Carrier's aftermarket digitization and QuantumLeap data center systems strategy. No financial impact.</w:t>
      </w:r>
    </w:p>
    <w:p>
      <w:pPr>
        <w:pStyle w:val="ListBullet"/>
        <w:ind w:left="360" w:hanging="360"/>
      </w:pPr>
      <w:r>
        <w:rPr>
          <w:rFonts w:ascii="Calibri" w:hAnsi="Calibri"/>
          <w:b/>
          <w:color w:val="525866"/>
          <w:sz w:val="22"/>
        </w:rPr>
        <w:t>July 22, 2026 — Trane Technologies Supply Chain Chief Gary Guo Departs (Peer):</w:t>
      </w:r>
      <w:r>
        <w:rPr>
          <w:rFonts w:ascii="Calibri" w:hAnsi="Calibri"/>
          <w:i/>
          <w:color w:val="525866"/>
          <w:sz w:val="22"/>
        </w:rPr>
        <w:t xml:space="preserve"> TT's SVP &amp; Chief Global Integrated Supply Chain Officer departing August 1, 2026. Company waived bonus clawback. </w:t>
      </w:r>
      <w:r>
        <w:rPr>
          <w:rFonts w:ascii="Calibri" w:hAnsi="Calibri"/>
          <w:b/>
          <w:color w:val="525866"/>
          <w:sz w:val="22"/>
        </w:rPr>
        <w:t xml:space="preserve">Implication: </w:t>
      </w:r>
      <w:r>
        <w:rPr>
          <w:rFonts w:ascii="Calibri" w:hAnsi="Calibri"/>
          <w:color w:val="525866"/>
          <w:sz w:val="22"/>
        </w:rPr>
        <w:t>Potential read-through: supply chain leadership instability at a key competitor could create near-term execution risk for TT, potentially benefiting Carrier in competitive situations. Limited direct CARR impact.</w:t>
      </w:r>
    </w:p>
    <w:p>
      <w:pPr>
        <w:pStyle w:val="ListBullet"/>
        <w:ind w:left="360" w:hanging="360"/>
      </w:pPr>
      <w:r>
        <w:rPr>
          <w:rFonts w:ascii="Calibri" w:hAnsi="Calibri"/>
          <w:b/>
          <w:color w:val="525866"/>
          <w:sz w:val="22"/>
        </w:rPr>
        <w:t>May 20, 2026 — Viessmann Family Sells 12.1M CARR Shares:</w:t>
      </w:r>
      <w:r>
        <w:rPr>
          <w:rFonts w:ascii="Calibri" w:hAnsi="Calibri"/>
          <w:i/>
          <w:color w:val="525866"/>
          <w:sz w:val="22"/>
        </w:rPr>
        <w:t xml:space="preserve"> Maximilian Viessmann (Director) disposed of 12,094,823 shares (indirect ownership) on May 20, 2026, reducing indirect holdings to 37,979,286 shares. Transaction was not under a 10b5-1 plan. </w:t>
      </w:r>
      <w:r>
        <w:rPr>
          <w:rFonts w:ascii="Calibri" w:hAnsi="Calibri"/>
          <w:b/>
          <w:color w:val="525866"/>
          <w:sz w:val="22"/>
        </w:rPr>
        <w:t xml:space="preserve">Implication: </w:t>
      </w:r>
      <w:r>
        <w:rPr>
          <w:rFonts w:ascii="Calibri" w:hAnsi="Calibri"/>
          <w:color w:val="525866"/>
          <w:sz w:val="22"/>
        </w:rPr>
        <w:t>Large discretionary sale by a major strategic shareholder; context is the Viessmann family's ongoing monetization of their CARR stake received in the 2023 Viessmann Climate Solutions acquisition. Not necessarily a negative signal on fundamentals but worth monitoring for overhang.</w:t>
      </w:r>
    </w:p>
    <w:p>
      <w:pPr>
        <w:pStyle w:val="ListBullet"/>
        <w:ind w:left="360" w:hanging="360"/>
      </w:pPr>
      <w:r>
        <w:rPr>
          <w:rFonts w:ascii="Calibri" w:hAnsi="Calibri"/>
          <w:b/>
          <w:color w:val="525866"/>
          <w:sz w:val="22"/>
        </w:rPr>
        <w:t>Q2 2026 — Riello Divestiture Expected to Close:</w:t>
      </w:r>
      <w:r>
        <w:rPr>
          <w:rFonts w:ascii="Calibri" w:hAnsi="Calibri"/>
          <w:i/>
          <w:color w:val="525866"/>
          <w:sz w:val="22"/>
        </w:rPr>
        <w:t xml:space="preserve"> Sale of Riello (reported in CSE segment) expected to close by end of Q2 2026 (delayed from prior Q1 2026 guidance). ~$250M revenue headwind for FY2026. </w:t>
      </w:r>
      <w:r>
        <w:rPr>
          <w:rFonts w:ascii="Calibri" w:hAnsi="Calibri"/>
          <w:b/>
          <w:color w:val="525866"/>
          <w:sz w:val="22"/>
        </w:rPr>
        <w:t xml:space="preserve">Implication: </w:t>
      </w:r>
      <w:r>
        <w:rPr>
          <w:rFonts w:ascii="Calibri" w:hAnsi="Calibri"/>
          <w:color w:val="525866"/>
          <w:sz w:val="22"/>
        </w:rPr>
        <w:t>Closing confirmation on the Q2 call would remove an overhang and clean up the CSE segment revenue line for 2H comparisons.</w:t>
      </w:r>
    </w:p>
    <w:p>
      <w:r>
        <w:br w:type="page"/>
      </w:r>
    </w:p>
    <w:p>
      <w:pPr>
        <w:pStyle w:val="Heading2"/>
      </w:pPr>
      <w:r>
        <w:rPr>
          <w:rFonts w:ascii="Calibri" w:hAnsi="Calibri"/>
          <w:b/>
          <w:color w:val="3B4259"/>
          <w:sz w:val="28"/>
        </w:rPr>
        <w:t>7. Peer Commentaries — Current-Quarter Read-Through</w:t>
      </w:r>
    </w:p>
    <w:p>
      <w:r>
        <w:rPr>
          <w:rFonts w:ascii="Calibri" w:hAnsi="Calibri"/>
          <w:b/>
          <w:color w:val="525866"/>
          <w:sz w:val="22"/>
        </w:rPr>
        <w:t xml:space="preserve">Methodology Note: </w:t>
      </w:r>
      <w:r>
        <w:rPr>
          <w:rFonts w:ascii="Calibri" w:hAnsi="Calibri"/>
          <w:color w:val="525866"/>
          <w:sz w:val="22"/>
        </w:rPr>
        <w:t>This section includes only commentary dated May 27–July 27, 2026 that explicitly addressed Q2 2026 / current-period conditions or forward outlook. Retrospective commentary about prior-quarter results has been excluded unless it explicitly updated the current-period outlook. Sources: JCI Gemba Day (June 1, 2026), AAON William Blair Conference (June 2, 2026), LII William Blair Conference (June 3, 2026), and supplementary internet research on TT and LII. TT Q2 2026 earnings (July 22, 2026) 8-K contained only a supply chain leadership departure with no operational commentary; TT Q2 results were not yet reported as of this preview's preparation date.</w:t>
      </w:r>
    </w:p>
    <w:p>
      <w:pPr>
        <w:pStyle w:val="Heading3"/>
      </w:pPr>
      <w:r>
        <w:rPr>
          <w:rFonts w:ascii="Calibri" w:hAnsi="Calibri"/>
          <w:b/>
          <w:color w:val="3B4259"/>
          <w:sz w:val="24"/>
        </w:rPr>
        <w:t>7A. Johnson Controls (JCI) — Gemba Day, June 1, 2026</w:t>
      </w:r>
    </w:p>
    <w:p>
      <w:r>
        <w:rPr>
          <w:rFonts w:ascii="Calibri" w:hAnsi="Calibri"/>
          <w:b/>
          <w:color w:val="525866"/>
          <w:sz w:val="22"/>
        </w:rPr>
        <w:t xml:space="preserve">Read-Through Strength: </w:t>
      </w:r>
      <w:r>
        <w:rPr>
          <w:rFonts w:ascii="Calibri" w:hAnsi="Calibri"/>
          <w:color w:val="525866"/>
          <w:sz w:val="22"/>
        </w:rPr>
        <w:t>HIGH — JCI is a direct HVAC/building controls peer with significant data center and commercial HVAC overlap.</w:t>
      </w:r>
    </w:p>
    <w:p>
      <w:r>
        <w:rPr>
          <w:rFonts w:ascii="Calibri" w:hAnsi="Calibri"/>
          <w:color w:val="525866"/>
          <w:sz w:val="22"/>
        </w:rPr>
        <w:t>Direct Read-Throughs:</w:t>
      </w:r>
    </w:p>
    <w:p>
      <w:pPr>
        <w:pStyle w:val="ListBullet"/>
        <w:ind w:left="360" w:hanging="360"/>
      </w:pPr>
      <w:r>
        <w:rPr>
          <w:rFonts w:ascii="Calibri" w:hAnsi="Calibri"/>
          <w:b/>
          <w:color w:val="525866"/>
          <w:sz w:val="22"/>
        </w:rPr>
        <w:t>Record order entry and backlog:</w:t>
      </w:r>
      <w:r>
        <w:rPr>
          <w:rFonts w:ascii="Calibri" w:hAnsi="Calibri"/>
          <w:i/>
          <w:color w:val="525866"/>
          <w:sz w:val="22"/>
        </w:rPr>
        <w:t xml:space="preserve"> JCI CEO Joakim Weidemanis stated the company has experienced "very healthy order entry" and that "backlog is at record levels," with order rates of 30% and 39% in the last two quarters. </w:t>
      </w:r>
      <w:r>
        <w:rPr>
          <w:rFonts w:ascii="Calibri" w:hAnsi="Calibri"/>
          <w:b/>
          <w:color w:val="525866"/>
          <w:sz w:val="22"/>
        </w:rPr>
        <w:t xml:space="preserve">CARR Read-Through: </w:t>
      </w:r>
      <w:r>
        <w:rPr>
          <w:rFonts w:ascii="Calibri" w:hAnsi="Calibri"/>
          <w:color w:val="525866"/>
          <w:sz w:val="22"/>
        </w:rPr>
        <w:t>Confirms broad-based commercial HVAC demand strength heading into Q2 2026. Carrier's own data center orders were up 500%+ in Q1; JCI's record backlog suggests the demand environment has not deteriorated in Q2.</w:t>
      </w:r>
    </w:p>
    <w:p>
      <w:pPr>
        <w:pStyle w:val="ListBullet"/>
        <w:ind w:left="360" w:hanging="360"/>
      </w:pPr>
      <w:r>
        <w:rPr>
          <w:rFonts w:ascii="Calibri" w:hAnsi="Calibri"/>
          <w:b/>
          <w:color w:val="525866"/>
          <w:sz w:val="22"/>
        </w:rPr>
        <w:t>Data center demand described as "the greatest infrastructure build-out in human history":</w:t>
      </w:r>
      <w:r>
        <w:rPr>
          <w:rFonts w:ascii="Calibri" w:hAnsi="Calibri"/>
          <w:i/>
          <w:color w:val="525866"/>
          <w:sz w:val="22"/>
        </w:rPr>
        <w:t xml:space="preserve"> JCI projected data center CapEx to reach $7 trillion by 2030 and confirmed "the order entry from data centers is very healthy." JCI noted that "even if they're liquid-cooled, there are even more air handling units going in than we had anticipated originally." </w:t>
      </w:r>
      <w:r>
        <w:rPr>
          <w:rFonts w:ascii="Calibri" w:hAnsi="Calibri"/>
          <w:b/>
          <w:color w:val="525866"/>
          <w:sz w:val="22"/>
        </w:rPr>
        <w:t xml:space="preserve">CARR Read-Through: </w:t>
      </w:r>
      <w:r>
        <w:rPr>
          <w:rFonts w:ascii="Calibri" w:hAnsi="Calibri"/>
          <w:color w:val="525866"/>
          <w:sz w:val="22"/>
        </w:rPr>
        <w:t>Strongly positive for Carrier's commercial HVAC and data center segment. The observation that liquid-cooled data centers still require more air handling units than expected is directly relevant to Carrier's chiller and AHU product mix. JCI's projection that data centers will grow from 12% of revenue in 2025 to ~1/3 of the company in 5 years implies a sustained multi-year demand runway.</w:t>
      </w:r>
    </w:p>
    <w:p>
      <w:pPr>
        <w:pStyle w:val="ListBullet"/>
        <w:ind w:left="360" w:hanging="360"/>
      </w:pPr>
      <w:r>
        <w:rPr>
          <w:rFonts w:ascii="Calibri" w:hAnsi="Calibri"/>
          <w:b/>
          <w:color w:val="525866"/>
          <w:sz w:val="22"/>
        </w:rPr>
        <w:t>Manufacturing capacity improvements:</w:t>
      </w:r>
      <w:r>
        <w:rPr>
          <w:rFonts w:ascii="Calibri" w:hAnsi="Calibri"/>
          <w:i/>
          <w:color w:val="525866"/>
          <w:sz w:val="22"/>
        </w:rPr>
        <w:t xml:space="preserve"> JCI CFO Marc Vandiepenbeeck cited a 4x production increase at one facility with lead times coming down and on-time delivery reaching 100%. </w:t>
      </w:r>
      <w:r>
        <w:rPr>
          <w:rFonts w:ascii="Calibri" w:hAnsi="Calibri"/>
          <w:b/>
          <w:color w:val="525866"/>
          <w:sz w:val="22"/>
        </w:rPr>
        <w:t xml:space="preserve">CARR Read-Through: </w:t>
      </w:r>
      <w:r>
        <w:rPr>
          <w:rFonts w:ascii="Calibri" w:hAnsi="Calibri"/>
          <w:color w:val="525866"/>
          <w:sz w:val="22"/>
        </w:rPr>
        <w:t>Suggests supply chain constraints are easing industry-wide, which could allow Carrier to accelerate data center deliveries in 2H 2026 — a key swing factor for the 2H revenue ramp.</w:t>
      </w:r>
    </w:p>
    <w:p>
      <w:pPr>
        <w:pStyle w:val="ListBullet"/>
        <w:ind w:left="360" w:hanging="360"/>
      </w:pPr>
      <w:r>
        <w:rPr>
          <w:rFonts w:ascii="Calibri" w:hAnsi="Calibri"/>
          <w:b/>
          <w:color w:val="525866"/>
          <w:sz w:val="22"/>
        </w:rPr>
        <w:t>Air-cooled chillers remain dominant:</w:t>
      </w:r>
      <w:r>
        <w:rPr>
          <w:rFonts w:ascii="Calibri" w:hAnsi="Calibri"/>
          <w:i/>
          <w:color w:val="525866"/>
          <w:sz w:val="22"/>
        </w:rPr>
        <w:t xml:space="preserve"> Vandiepenbeeck stated "the vast majority of the market is air" and that the market has stayed "about where it's at in terms of air-cooled chiller," citing flexibility and innovation as drivers. </w:t>
      </w:r>
      <w:r>
        <w:rPr>
          <w:rFonts w:ascii="Calibri" w:hAnsi="Calibri"/>
          <w:b/>
          <w:color w:val="525866"/>
          <w:sz w:val="22"/>
        </w:rPr>
        <w:t xml:space="preserve">CARR Read-Through: </w:t>
      </w:r>
      <w:r>
        <w:rPr>
          <w:rFonts w:ascii="Calibri" w:hAnsi="Calibri"/>
          <w:color w:val="525866"/>
          <w:sz w:val="22"/>
        </w:rPr>
        <w:t>Positive for Carrier's core chiller business, which is the majority of its $1.5B 2026 data center revenue target. Liquid cooling is a small fraction of current data center revenue for both JCI and CARR.</w:t>
      </w:r>
    </w:p>
    <w:p>
      <w:pPr>
        <w:pStyle w:val="ListBullet"/>
        <w:ind w:left="360" w:hanging="360"/>
      </w:pPr>
      <w:r>
        <w:rPr>
          <w:rFonts w:ascii="Calibri" w:hAnsi="Calibri"/>
          <w:b/>
          <w:color w:val="525866"/>
          <w:sz w:val="22"/>
        </w:rPr>
        <w:t>Updated long-term algorithm: high single-digit organic growth, 30%+ operating leverage:</w:t>
      </w:r>
      <w:r>
        <w:rPr>
          <w:rFonts w:ascii="Calibri" w:hAnsi="Calibri"/>
          <w:i/>
          <w:color w:val="525866"/>
          <w:sz w:val="22"/>
        </w:rPr>
        <w:t xml:space="preserve"> JCI raised its long-term organic growth target from mid-SD to high-SD, driven by data centers and decarbonization. </w:t>
      </w:r>
      <w:r>
        <w:rPr>
          <w:rFonts w:ascii="Calibri" w:hAnsi="Calibri"/>
          <w:b/>
          <w:color w:val="525866"/>
          <w:sz w:val="22"/>
        </w:rPr>
        <w:t xml:space="preserve">CARR Read-Through: </w:t>
      </w:r>
      <w:r>
        <w:rPr>
          <w:rFonts w:ascii="Calibri" w:hAnsi="Calibri"/>
          <w:color w:val="525866"/>
          <w:sz w:val="22"/>
        </w:rPr>
        <w:t>Sets a high bar for the sector; Carrier's own FY2026 organic growth guide of flat to up LSD looks conservative by comparison, suggesting potential for upward revision if data center and aftermarket continue to outperform.</w:t>
      </w:r>
    </w:p>
    <w:p>
      <w:r>
        <w:rPr>
          <w:rFonts w:ascii="Calibri" w:hAnsi="Calibri"/>
          <w:b/>
          <w:color w:val="525866"/>
          <w:sz w:val="22"/>
        </w:rPr>
        <w:t xml:space="preserve">Caveats: </w:t>
      </w:r>
      <w:r>
        <w:rPr>
          <w:rFonts w:ascii="Calibri" w:hAnsi="Calibri"/>
          <w:color w:val="525866"/>
          <w:sz w:val="22"/>
        </w:rPr>
        <w:t>JCI's fiscal year ends September 30 (currently in FY2026Q3), so its "current quarter" commentary reflects a different calendar period than CARR's Q2 2026. JCI's commercial HVAC mix skews more toward controls and service (Metasys, OpenBlue) vs. Carrier's equipment-heavy mix. JCI's data center exposure is growing but was only ~12% of revenue in 2025 vs. Carrier's ~$1.5B target (~7% of revenue). JCI's Gemba Day was an investor day format — commentary was forward-looking and aspirational, not a quarterly update.</w:t>
      </w:r>
    </w:p>
    <w:p>
      <w:pPr>
        <w:pStyle w:val="Heading3"/>
      </w:pPr>
      <w:r>
        <w:rPr>
          <w:rFonts w:ascii="Calibri" w:hAnsi="Calibri"/>
          <w:b/>
          <w:color w:val="3B4259"/>
          <w:sz w:val="24"/>
        </w:rPr>
        <w:t>7B. AAON Inc. (AAON) — William Blair Growth Stock Conference, June 2, 2026</w:t>
      </w:r>
    </w:p>
    <w:p>
      <w:r>
        <w:rPr>
          <w:rFonts w:ascii="Calibri" w:hAnsi="Calibri"/>
          <w:b/>
          <w:color w:val="525866"/>
          <w:sz w:val="22"/>
        </w:rPr>
        <w:t xml:space="preserve">Read-Through Strength: </w:t>
      </w:r>
      <w:r>
        <w:rPr>
          <w:rFonts w:ascii="Calibri" w:hAnsi="Calibri"/>
          <w:color w:val="525866"/>
          <w:sz w:val="22"/>
        </w:rPr>
        <w:t>MEDIUM — AAON is a light commercial HVAC and data center cooling peer (BASX brand); smaller scale but highly relevant for data center demand signals and light commercial market recovery.</w:t>
      </w:r>
    </w:p>
    <w:p>
      <w:r>
        <w:rPr>
          <w:rFonts w:ascii="Calibri" w:hAnsi="Calibri"/>
          <w:color w:val="525866"/>
          <w:sz w:val="22"/>
        </w:rPr>
        <w:t>Direct Read-Throughs:</w:t>
      </w:r>
    </w:p>
    <w:p>
      <w:pPr>
        <w:pStyle w:val="ListBullet"/>
        <w:ind w:left="360" w:hanging="360"/>
      </w:pPr>
      <w:r>
        <w:rPr>
          <w:rFonts w:ascii="Calibri" w:hAnsi="Calibri"/>
          <w:b/>
          <w:color w:val="525866"/>
          <w:sz w:val="22"/>
        </w:rPr>
        <w:t>Light commercial HVAC recovery underway:</w:t>
      </w:r>
      <w:r>
        <w:rPr>
          <w:rFonts w:ascii="Calibri" w:hAnsi="Calibri"/>
          <w:i/>
          <w:color w:val="525866"/>
          <w:sz w:val="22"/>
        </w:rPr>
        <w:t xml:space="preserve"> AAON CEO Gary Tobolski stated the company has seen "signs of recovery inside the commercial HVAC market" with "strength in bookings" in Q1 2026 and "more and more conversations in our traditional transactional type business." He described 2026 as "a good strong recovery year for the AAON brand." </w:t>
      </w:r>
      <w:r>
        <w:rPr>
          <w:rFonts w:ascii="Calibri" w:hAnsi="Calibri"/>
          <w:b/>
          <w:color w:val="525866"/>
          <w:sz w:val="22"/>
        </w:rPr>
        <w:t xml:space="preserve">CARR Read-Through: </w:t>
      </w:r>
      <w:r>
        <w:rPr>
          <w:rFonts w:ascii="Calibri" w:hAnsi="Calibri"/>
          <w:color w:val="525866"/>
          <w:sz w:val="22"/>
        </w:rPr>
        <w:t>Confirms Carrier's own Q1 commentary that light commercial grew year-over-year driven by share gains. The recovery in transactional light commercial bookings is a positive leading indicator for Carrier's CSA light commercial business, which management guided down mid-SD in Q2 but expected to recover in 2H.</w:t>
      </w:r>
    </w:p>
    <w:p>
      <w:pPr>
        <w:pStyle w:val="ListBullet"/>
        <w:ind w:left="360" w:hanging="360"/>
      </w:pPr>
      <w:r>
        <w:rPr>
          <w:rFonts w:ascii="Calibri" w:hAnsi="Calibri"/>
          <w:b/>
          <w:color w:val="525866"/>
          <w:sz w:val="22"/>
        </w:rPr>
        <w:t>Data center demand remains strong; $1B outlook raised:</w:t>
      </w:r>
      <w:r>
        <w:rPr>
          <w:rFonts w:ascii="Calibri" w:hAnsi="Calibri"/>
          <w:i/>
          <w:color w:val="525866"/>
          <w:sz w:val="22"/>
        </w:rPr>
        <w:t xml:space="preserve"> AAON raised its data center outlook to $1B and confirmed "very strong demand for the airside products" even in liquid-cooled data centers, which still require "30% to 40% of your capacity via air." Q1 backlog growth was "relatively even" across airside, chiller, and liquid cooling products. </w:t>
      </w:r>
      <w:r>
        <w:rPr>
          <w:rFonts w:ascii="Calibri" w:hAnsi="Calibri"/>
          <w:b/>
          <w:color w:val="525866"/>
          <w:sz w:val="22"/>
        </w:rPr>
        <w:t xml:space="preserve">CARR Read-Through: </w:t>
      </w:r>
      <w:r>
        <w:rPr>
          <w:rFonts w:ascii="Calibri" w:hAnsi="Calibri"/>
          <w:color w:val="525866"/>
          <w:sz w:val="22"/>
        </w:rPr>
        <w:t>Directly corroborates Carrier's data center demand thesis. The 30–40% air requirement in liquid-cooled facilities is consistent with Carrier's chiller-heavy data center revenue mix. AAON's BASX business doubling for the third consecutive year confirms the secular demand trend is intact.</w:t>
      </w:r>
    </w:p>
    <w:p>
      <w:pPr>
        <w:pStyle w:val="ListBullet"/>
        <w:ind w:left="360" w:hanging="360"/>
      </w:pPr>
      <w:r>
        <w:rPr>
          <w:rFonts w:ascii="Calibri" w:hAnsi="Calibri"/>
          <w:b/>
          <w:color w:val="525866"/>
          <w:sz w:val="22"/>
        </w:rPr>
        <w:t>Oklahoma operations at record run rates in Q1 2026:</w:t>
      </w:r>
      <w:r>
        <w:rPr>
          <w:rFonts w:ascii="Calibri" w:hAnsi="Calibri"/>
          <w:i/>
          <w:color w:val="525866"/>
          <w:sz w:val="22"/>
        </w:rPr>
        <w:t xml:space="preserve"> AAON's primary manufacturing facility achieved "record highs" in velocity and volumes in Q1 2026, with the Memphis facility ramping additional production lines by year-end. </w:t>
      </w:r>
      <w:r>
        <w:rPr>
          <w:rFonts w:ascii="Calibri" w:hAnsi="Calibri"/>
          <w:b/>
          <w:color w:val="525866"/>
          <w:sz w:val="22"/>
        </w:rPr>
        <w:t xml:space="preserve">CARR Read-Through: </w:t>
      </w:r>
      <w:r>
        <w:rPr>
          <w:rFonts w:ascii="Calibri" w:hAnsi="Calibri"/>
          <w:color w:val="525866"/>
          <w:sz w:val="22"/>
        </w:rPr>
        <w:t>Industry-wide manufacturing capacity is expanding to meet data center demand — consistent with Carrier's own CapEx escalation to ~$600M for a new North American facility. Suggests the supply side is responding to demand, which could support Carrier's ability to deliver on its 2H data center ramp.</w:t>
      </w:r>
    </w:p>
    <w:p>
      <w:pPr>
        <w:pStyle w:val="ListBullet"/>
        <w:ind w:left="360" w:hanging="360"/>
      </w:pPr>
      <w:r>
        <w:rPr>
          <w:rFonts w:ascii="Calibri" w:hAnsi="Calibri"/>
          <w:b/>
          <w:color w:val="525866"/>
          <w:sz w:val="22"/>
        </w:rPr>
        <w:t>Pricing actions in place; margin recovery expected:</w:t>
      </w:r>
      <w:r>
        <w:rPr>
          <w:rFonts w:ascii="Calibri" w:hAnsi="Calibri"/>
          <w:i/>
          <w:color w:val="525866"/>
          <w:sz w:val="22"/>
        </w:rPr>
        <w:t xml:space="preserve"> AAON identified price/cost dynamics in Q3–Q4 2025 and implemented pricing actions, expecting "better priced product flowing through the factory" to drive margin improvement. Coil outsourcing (~200bps margin headwind in Q1) will continue near-term. </w:t>
      </w:r>
      <w:r>
        <w:rPr>
          <w:rFonts w:ascii="Calibri" w:hAnsi="Calibri"/>
          <w:b/>
          <w:color w:val="525866"/>
          <w:sz w:val="22"/>
        </w:rPr>
        <w:t xml:space="preserve">CARR Read-Through: </w:t>
      </w:r>
      <w:r>
        <w:rPr>
          <w:rFonts w:ascii="Calibri" w:hAnsi="Calibri"/>
          <w:color w:val="525866"/>
          <w:sz w:val="22"/>
        </w:rPr>
        <w:t>Consistent with Carrier's own tariff-driven pricing actions (~2.5 pts for FY2026). The industry-wide pricing discipline is holding, which supports Carrier's ability to maintain its dollar-for-dollar cost offset commitment.</w:t>
      </w:r>
    </w:p>
    <w:p>
      <w:r>
        <w:rPr>
          <w:rFonts w:ascii="Calibri" w:hAnsi="Calibri"/>
          <w:b/>
          <w:color w:val="525866"/>
          <w:sz w:val="22"/>
        </w:rPr>
        <w:t xml:space="preserve">Caveats: </w:t>
      </w:r>
      <w:r>
        <w:rPr>
          <w:rFonts w:ascii="Calibri" w:hAnsi="Calibri"/>
          <w:color w:val="525866"/>
          <w:sz w:val="22"/>
        </w:rPr>
        <w:t>AAON is significantly smaller than Carrier (~$2B revenue vs. ~$22B) and its BASX data center business is focused on hyperscale custom solutions, while Carrier's data center revenue is predominantly standard chillers and AHUs. AAON's light commercial business is rooftop-focused (commercial buildings, retail, healthcare) vs. Carrier's broader mix including large applied systems. AAON's 40% consolidated growth rate is not comparable to Carrier's flat-to-LSD organic guide.</w:t>
      </w:r>
    </w:p>
    <w:p>
      <w:pPr>
        <w:pStyle w:val="Heading3"/>
      </w:pPr>
      <w:r>
        <w:rPr>
          <w:rFonts w:ascii="Calibri" w:hAnsi="Calibri"/>
          <w:b/>
          <w:color w:val="3B4259"/>
          <w:sz w:val="24"/>
        </w:rPr>
        <w:t>7C. Lennox International (LII) — William Blair Growth Stock Conference, June 3, 2026</w:t>
      </w:r>
    </w:p>
    <w:p>
      <w:r>
        <w:rPr>
          <w:rFonts w:ascii="Calibri" w:hAnsi="Calibri"/>
          <w:b/>
          <w:color w:val="525866"/>
          <w:sz w:val="22"/>
        </w:rPr>
        <w:t xml:space="preserve">Read-Through Strength: </w:t>
      </w:r>
      <w:r>
        <w:rPr>
          <w:rFonts w:ascii="Calibri" w:hAnsi="Calibri"/>
          <w:color w:val="525866"/>
          <w:sz w:val="22"/>
        </w:rPr>
        <w:t>HIGH — LII is the most direct residential and light commercial HVAC peer to Carrier's CSA segment; CEO Alok Maskara's commentary on June 3 is the most relevant current-period read-through for Carrier's residential and pricing outlook.</w:t>
      </w:r>
    </w:p>
    <w:p>
      <w:r>
        <w:rPr>
          <w:rFonts w:ascii="Calibri" w:hAnsi="Calibri"/>
          <w:color w:val="525866"/>
          <w:sz w:val="22"/>
        </w:rPr>
        <w:t>Direct Read-Throughs:</w:t>
      </w:r>
    </w:p>
    <w:p>
      <w:pPr>
        <w:pStyle w:val="ListBullet"/>
        <w:ind w:left="360" w:hanging="360"/>
      </w:pPr>
      <w:r>
        <w:rPr>
          <w:rFonts w:ascii="Calibri" w:hAnsi="Calibri"/>
          <w:b/>
          <w:color w:val="525866"/>
          <w:sz w:val="22"/>
        </w:rPr>
        <w:t>Destocking is "100% behind us" as of early June:</w:t>
      </w:r>
      <w:r>
        <w:rPr>
          <w:rFonts w:ascii="Calibri" w:hAnsi="Calibri"/>
          <w:i/>
          <w:color w:val="525866"/>
          <w:sz w:val="22"/>
        </w:rPr>
        <w:t xml:space="preserve"> Maskara stated "the destocking is now 100% behind us" and inventory levels are "back to more normal level." He confirmed that Q1 and Q2 have absorption headwinds from manufacturing less than last year, but "starting Q3, what we sell versus what we make will be more in a balanced situation." </w:t>
      </w:r>
      <w:r>
        <w:rPr>
          <w:rFonts w:ascii="Calibri" w:hAnsi="Calibri"/>
          <w:b/>
          <w:color w:val="525866"/>
          <w:sz w:val="22"/>
        </w:rPr>
        <w:t xml:space="preserve">CARR Read-Through: </w:t>
      </w:r>
      <w:r>
        <w:rPr>
          <w:rFonts w:ascii="Calibri" w:hAnsi="Calibri"/>
          <w:color w:val="525866"/>
          <w:sz w:val="22"/>
        </w:rPr>
        <w:t>Directly positive for Carrier's Q2 residential narrative. Carrier's own field inventory was down ~35% YoY as of April 30; LII's confirmation that destocking is complete industry-wide by early June suggests Carrier's channel is also normalizing, which should support the 2H residential recovery thesis. The Q3 balance point is consistent with Carrier's own guidance for a significant 2H step-up.</w:t>
      </w:r>
    </w:p>
    <w:p>
      <w:pPr>
        <w:pStyle w:val="ListBullet"/>
        <w:ind w:left="360" w:hanging="360"/>
      </w:pPr>
      <w:r>
        <w:rPr>
          <w:rFonts w:ascii="Calibri" w:hAnsi="Calibri"/>
          <w:b/>
          <w:color w:val="525866"/>
          <w:sz w:val="22"/>
        </w:rPr>
        <w:t>Residential HVAC industry approaching end of decline cycle:</w:t>
      </w:r>
      <w:r>
        <w:rPr>
          <w:rFonts w:ascii="Calibri" w:hAnsi="Calibri"/>
          <w:i/>
          <w:color w:val="525866"/>
          <w:sz w:val="22"/>
        </w:rPr>
        <w:t xml:space="preserve"> Maskara noted "the Resi HVAC industry has never had more than a 6-quarter decline, and we are approaching — this will be the fifth quarter, will be 6-quarter decline," implying a recovery is historically overdue. He expressed confidence that "by '27, we'll be in a similar situation in residential as well" as commercial is currently. </w:t>
      </w:r>
      <w:r>
        <w:rPr>
          <w:rFonts w:ascii="Calibri" w:hAnsi="Calibri"/>
          <w:b/>
          <w:color w:val="525866"/>
          <w:sz w:val="22"/>
        </w:rPr>
        <w:t xml:space="preserve">CARR Read-Through: </w:t>
      </w:r>
      <w:r>
        <w:rPr>
          <w:rFonts w:ascii="Calibri" w:hAnsi="Calibri"/>
          <w:color w:val="525866"/>
          <w:sz w:val="22"/>
        </w:rPr>
        <w:t>Supports Carrier management's own framing of 2027 as a residential recovery year. The historical pattern argument (never more than 6 quarters of decline) provides a structural floor for the residential market, which is relevant to Carrier's CSA segment margin recovery trajectory.</w:t>
      </w:r>
    </w:p>
    <w:p>
      <w:pPr>
        <w:pStyle w:val="ListBullet"/>
        <w:ind w:left="360" w:hanging="360"/>
      </w:pPr>
      <w:r>
        <w:rPr>
          <w:rFonts w:ascii="Calibri" w:hAnsi="Calibri"/>
          <w:b/>
          <w:color w:val="525866"/>
          <w:sz w:val="22"/>
        </w:rPr>
        <w:t>Pricing "sticking just fine" with no competitive behavior changes:</w:t>
      </w:r>
      <w:r>
        <w:rPr>
          <w:rFonts w:ascii="Calibri" w:hAnsi="Calibri"/>
          <w:i/>
          <w:color w:val="525866"/>
          <w:sz w:val="22"/>
        </w:rPr>
        <w:t xml:space="preserve"> Maskara confirmed "price seems to be sticking just fine" with "no changes in competitive behavior" and that industry dynamics (5 manufacturers, 1,000 distributors, 10,000 contractors) "continue to favor good pricing discipline going forward." He noted the June 8 tariff reduction puts LII "back in a better competitive position" but "doesn't change our outlook." </w:t>
      </w:r>
      <w:r>
        <w:rPr>
          <w:rFonts w:ascii="Calibri" w:hAnsi="Calibri"/>
          <w:b/>
          <w:color w:val="525866"/>
          <w:sz w:val="22"/>
        </w:rPr>
        <w:t xml:space="preserve">CARR Read-Through: </w:t>
      </w:r>
      <w:r>
        <w:rPr>
          <w:rFonts w:ascii="Calibri" w:hAnsi="Calibri"/>
          <w:color w:val="525866"/>
          <w:sz w:val="22"/>
        </w:rPr>
        <w:t>Strongly positive for Carrier's pricing assumptions. If pricing is holding industry-wide despite the tariff reduction, Carrier's ~2.5 pts of net pricing for FY2026 is achievable. The absence of competitive pricing pressure reduces the risk of margin erosion from price competition.</w:t>
      </w:r>
    </w:p>
    <w:p>
      <w:pPr>
        <w:pStyle w:val="ListBullet"/>
        <w:ind w:left="360" w:hanging="360"/>
      </w:pPr>
      <w:r>
        <w:rPr>
          <w:rFonts w:ascii="Calibri" w:hAnsi="Calibri"/>
          <w:b/>
          <w:color w:val="525866"/>
          <w:sz w:val="22"/>
        </w:rPr>
        <w:t>Commercial HVAC "growing for the past 2 years" and gaining share:</w:t>
      </w:r>
      <w:r>
        <w:rPr>
          <w:rFonts w:ascii="Calibri" w:hAnsi="Calibri"/>
          <w:i/>
          <w:color w:val="525866"/>
          <w:sz w:val="22"/>
        </w:rPr>
        <w:t xml:space="preserve"> Maskara stated commercial HVAC "grew for the past 2 years" after 14 months of decline and that LII is "gaining share" due to improved availability. Q1 was "the first time where commercial made more money than residential." </w:t>
      </w:r>
      <w:r>
        <w:rPr>
          <w:rFonts w:ascii="Calibri" w:hAnsi="Calibri"/>
          <w:b/>
          <w:color w:val="525866"/>
          <w:sz w:val="22"/>
        </w:rPr>
        <w:t xml:space="preserve">CARR Read-Through: </w:t>
      </w:r>
      <w:r>
        <w:rPr>
          <w:rFonts w:ascii="Calibri" w:hAnsi="Calibri"/>
          <w:color w:val="525866"/>
          <w:sz w:val="22"/>
        </w:rPr>
        <w:t>Confirms the commercial HVAC recovery is broad-based and not just a data center phenomenon. Carrier's light commercial business grew YoY in Q1 driven by share gains — LII's commentary suggests this trend is continuing into Q2.</w:t>
      </w:r>
    </w:p>
    <w:p>
      <w:pPr>
        <w:pStyle w:val="ListBullet"/>
        <w:ind w:left="360" w:hanging="360"/>
      </w:pPr>
      <w:r>
        <w:rPr>
          <w:rFonts w:ascii="Calibri" w:hAnsi="Calibri"/>
          <w:b/>
          <w:color w:val="525866"/>
          <w:sz w:val="22"/>
        </w:rPr>
        <w:t>Contractor confidence "back" but consumer confidence "not back":</w:t>
      </w:r>
      <w:r>
        <w:rPr>
          <w:rFonts w:ascii="Calibri" w:hAnsi="Calibri"/>
          <w:i/>
          <w:color w:val="525866"/>
          <w:sz w:val="22"/>
        </w:rPr>
        <w:t xml:space="preserve"> Maskara noted contractors are "back being confident" but consumer confidence has not recovered, and the guidance "did not bake in any major change in consumer confidence." </w:t>
      </w:r>
      <w:r>
        <w:rPr>
          <w:rFonts w:ascii="Calibri" w:hAnsi="Calibri"/>
          <w:b/>
          <w:color w:val="525866"/>
          <w:sz w:val="22"/>
        </w:rPr>
        <w:t xml:space="preserve">CARR Read-Through: </w:t>
      </w:r>
      <w:r>
        <w:rPr>
          <w:rFonts w:ascii="Calibri" w:hAnsi="Calibri"/>
          <w:color w:val="525866"/>
          <w:sz w:val="22"/>
        </w:rPr>
        <w:t>Mixed signal for Carrier's residential outlook. Contractor confidence recovery supports the sell-through improvement Carrier has been tracking (movement better than expected in Q1 and April). But the absence of consumer confidence recovery means the residential volume recovery will be gradual rather than sharp — consistent with Carrier's own conservative residential assumptions for Q2.</w:t>
      </w:r>
    </w:p>
    <w:p>
      <w:pPr>
        <w:pStyle w:val="ListBullet"/>
        <w:ind w:left="360" w:hanging="360"/>
      </w:pPr>
      <w:r>
        <w:rPr>
          <w:rFonts w:ascii="Calibri" w:hAnsi="Calibri"/>
          <w:b/>
          <w:color w:val="525866"/>
          <w:sz w:val="22"/>
        </w:rPr>
        <w:t>June is the largest month of the year for LII:</w:t>
      </w:r>
      <w:r>
        <w:rPr>
          <w:rFonts w:ascii="Calibri" w:hAnsi="Calibri"/>
          <w:i/>
          <w:color w:val="525866"/>
          <w:sz w:val="22"/>
        </w:rPr>
        <w:t xml:space="preserve"> Maskara noted "June is the largest month for us in the year," making it difficult to provide definitive Q2 statements early in the month (conference was June 3). </w:t>
      </w:r>
      <w:r>
        <w:rPr>
          <w:rFonts w:ascii="Calibri" w:hAnsi="Calibri"/>
          <w:b/>
          <w:color w:val="525866"/>
          <w:sz w:val="22"/>
        </w:rPr>
        <w:t xml:space="preserve">CARR Read-Through: </w:t>
      </w:r>
      <w:r>
        <w:rPr>
          <w:rFonts w:ascii="Calibri" w:hAnsi="Calibri"/>
          <w:color w:val="525866"/>
          <w:sz w:val="22"/>
        </w:rPr>
        <w:t>June is also seasonally the largest month for Carrier's CSA residential business. LII's caution about June visibility suggests Q2 residential results will be heavily influenced by June sell-through — a variable that was not yet visible at the time of the conference.</w:t>
      </w:r>
    </w:p>
    <w:p>
      <w:r>
        <w:rPr>
          <w:rFonts w:ascii="Calibri" w:hAnsi="Calibri"/>
          <w:b/>
          <w:color w:val="525866"/>
          <w:sz w:val="22"/>
        </w:rPr>
        <w:t xml:space="preserve">Caveats: </w:t>
      </w:r>
      <w:r>
        <w:rPr>
          <w:rFonts w:ascii="Calibri" w:hAnsi="Calibri"/>
          <w:color w:val="525866"/>
          <w:sz w:val="22"/>
        </w:rPr>
        <w:t>LII is primarily a North American residential and light commercial HVAC company with limited data center exposure (CEO explicitly stated they are "sitting out" of the current chiller-based data center cooling market). LII's commercial business is rooftop-focused, not large applied systems. LII's pricing and volume dynamics are directionally relevant but not identical to Carrier's given Carrier's broader geographic and product mix (Europe heat pumps, transport refrigeration, building management systems).</w:t>
      </w:r>
    </w:p>
    <w:p>
      <w:pPr>
        <w:pStyle w:val="Heading3"/>
      </w:pPr>
      <w:r>
        <w:rPr>
          <w:rFonts w:ascii="Calibri" w:hAnsi="Calibri"/>
          <w:b/>
          <w:color w:val="3B4259"/>
          <w:sz w:val="24"/>
        </w:rPr>
        <w:t>7D. Trane Technologies (TT) — Q1 2026 Earnings Context &amp; Q2 Preview Data</w:t>
      </w:r>
    </w:p>
    <w:p>
      <w:r>
        <w:rPr>
          <w:rFonts w:ascii="Calibri" w:hAnsi="Calibri"/>
          <w:b/>
          <w:color w:val="525866"/>
          <w:sz w:val="22"/>
        </w:rPr>
        <w:t xml:space="preserve">Read-Through Strength: </w:t>
      </w:r>
      <w:r>
        <w:rPr>
          <w:rFonts w:ascii="Calibri" w:hAnsi="Calibri"/>
          <w:color w:val="525866"/>
          <w:sz w:val="22"/>
        </w:rPr>
        <w:t>HIGH — TT is the most direct large-cap HVAC peer to Carrier; TT reports Q2 2026 on July 30, 2026 (two days after CARR), so pre-earnings data is the relevant read-through.</w:t>
      </w:r>
    </w:p>
    <w:p>
      <w:pPr>
        <w:pStyle w:val="ListBullet"/>
        <w:ind w:left="360" w:hanging="360"/>
      </w:pPr>
      <w:r>
        <w:rPr>
          <w:rFonts w:ascii="Calibri" w:hAnsi="Calibri"/>
          <w:b/>
          <w:color w:val="525866"/>
          <w:sz w:val="22"/>
        </w:rPr>
        <w:t>TT Q1 2026 bookings: $6.7B in enterprise bookings, record $10.7B backlog (+30% vs. year-end 2025):</w:t>
      </w:r>
      <w:r>
        <w:rPr>
          <w:rFonts w:ascii="Calibri" w:hAnsi="Calibri"/>
          <w:i/>
          <w:color w:val="525866"/>
          <w:sz w:val="22"/>
        </w:rPr>
        <w:t xml:space="preserve"> Americas Commercial HVAC bookings +40% in Q1; Applied bookings +160%. TT raised FY2026 organic revenue growth guidance to ~7% (from 6–7%). </w:t>
      </w:r>
      <w:r>
        <w:rPr>
          <w:rFonts w:ascii="Calibri" w:hAnsi="Calibri"/>
          <w:b/>
          <w:color w:val="525866"/>
          <w:sz w:val="22"/>
        </w:rPr>
        <w:t xml:space="preserve">CARR Read-Through: </w:t>
      </w:r>
      <w:r>
        <w:rPr>
          <w:rFonts w:ascii="Calibri" w:hAnsi="Calibri"/>
          <w:color w:val="525866"/>
          <w:sz w:val="22"/>
        </w:rPr>
        <w:t>TT's record backlog and 40% Americas commercial bookings growth in Q1 is the strongest industry-level confirmation of the commercial HVAC demand environment heading into Q2. Carrier's own commercial HVAC orders were up 35% in Q1 (data centers up 500%+), consistent with TT's trajectory.</w:t>
      </w:r>
    </w:p>
    <w:p>
      <w:pPr>
        <w:pStyle w:val="ListBullet"/>
        <w:ind w:left="360" w:hanging="360"/>
      </w:pPr>
      <w:r>
        <w:rPr>
          <w:rFonts w:ascii="Calibri" w:hAnsi="Calibri"/>
          <w:b/>
          <w:color w:val="525866"/>
          <w:sz w:val="22"/>
        </w:rPr>
        <w:t>TT Q2 2026 consensus: Revenue $6.19B (+7% YoY), EPS $4.25 (+9.5% YoY):</w:t>
      </w:r>
      <w:r>
        <w:rPr>
          <w:rFonts w:ascii="Calibri" w:hAnsi="Calibri"/>
          <w:i/>
          <w:color w:val="525866"/>
          <w:sz w:val="22"/>
        </w:rPr>
        <w:t xml:space="preserve"> TT's Q2 consensus implies continued strong execution on its backlog conversion. TT's adjusted operating margin was 16.0% in Q1 2026 (down 20bps YoY) with guidance for 25%+ operating leverage for the year. </w:t>
      </w:r>
      <w:r>
        <w:rPr>
          <w:rFonts w:ascii="Calibri" w:hAnsi="Calibri"/>
          <w:b/>
          <w:color w:val="525866"/>
          <w:sz w:val="22"/>
        </w:rPr>
        <w:t xml:space="preserve">CARR Read-Through: </w:t>
      </w:r>
      <w:r>
        <w:rPr>
          <w:rFonts w:ascii="Calibri" w:hAnsi="Calibri"/>
          <w:color w:val="525866"/>
          <w:sz w:val="22"/>
        </w:rPr>
        <w:t>TT's ability to convert its record backlog into Q2 revenue at +7% YoY organic growth would validate the commercial HVAC demand environment and provide a positive read-through for Carrier's own data center and commercial HVAC revenue ramp in 2H 2026.</w:t>
      </w:r>
    </w:p>
    <w:p>
      <w:pPr>
        <w:pStyle w:val="ListBullet"/>
        <w:ind w:left="360" w:hanging="360"/>
      </w:pPr>
      <w:r>
        <w:rPr>
          <w:rFonts w:ascii="Calibri" w:hAnsi="Calibri"/>
          <w:b/>
          <w:color w:val="525866"/>
          <w:sz w:val="22"/>
        </w:rPr>
        <w:t>TT supply chain leadership departure (July 22, 2026):</w:t>
      </w:r>
      <w:r>
        <w:rPr>
          <w:rFonts w:ascii="Calibri" w:hAnsi="Calibri"/>
          <w:i/>
          <w:color w:val="525866"/>
          <w:sz w:val="22"/>
        </w:rPr>
        <w:t xml:space="preserve"> SVP &amp; Chief Global Integrated Supply Chain Officer Gary Guo departing August 1, 2026; company waived bonus clawback. No operational commentary in the 8-K. </w:t>
      </w:r>
      <w:r>
        <w:rPr>
          <w:rFonts w:ascii="Calibri" w:hAnsi="Calibri"/>
          <w:b/>
          <w:color w:val="525866"/>
          <w:sz w:val="22"/>
        </w:rPr>
        <w:t xml:space="preserve">CARR Read-Through: </w:t>
      </w:r>
      <w:r>
        <w:rPr>
          <w:rFonts w:ascii="Calibri" w:hAnsi="Calibri"/>
          <w:color w:val="525866"/>
          <w:sz w:val="22"/>
        </w:rPr>
        <w:t>Limited direct read-through; potential near-term execution risk for TT's supply chain, which could benefit Carrier in competitive situations. The clawback waiver is unusual and warrants monitoring.</w:t>
      </w:r>
    </w:p>
    <w:p>
      <w:r>
        <w:rPr>
          <w:rFonts w:ascii="Calibri" w:hAnsi="Calibri"/>
          <w:b/>
          <w:color w:val="525866"/>
          <w:sz w:val="22"/>
        </w:rPr>
        <w:t xml:space="preserve">Caveats: </w:t>
      </w:r>
      <w:r>
        <w:rPr>
          <w:rFonts w:ascii="Calibri" w:hAnsi="Calibri"/>
          <w:color w:val="525866"/>
          <w:sz w:val="22"/>
        </w:rPr>
        <w:t>TT reports Q2 2026 on July 30, 2026 — two days after CARR — so TT's Q2 results are not available as a read-through for this preview. TT's business mix is more heavily weighted toward commercial HVAC and service (less residential, no transport refrigeration) than Carrier. TT's organic growth trajectory (+7% guided) is significantly stronger than Carrier's (flat to LSD), reflecting TT's earlier and more complete exit from residential exposure.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only notable insider transaction since the Q1 print is a </w:t>
      </w:r>
      <w:r>
        <w:rPr>
          <w:rFonts w:ascii="Calibri" w:hAnsi="Calibri"/>
          <w:b/>
          <w:color w:val="525866"/>
          <w:sz w:val="22"/>
        </w:rPr>
        <w:t>large discretionary sale by Maximilian Viessmann (Director)</w:t>
      </w:r>
      <w:r>
        <w:rPr>
          <w:rFonts w:ascii="Calibri" w:hAnsi="Calibri"/>
          <w:color w:val="525866"/>
          <w:sz w:val="22"/>
        </w:rPr>
        <w:t xml:space="preserve"> — 12.1M shares on May 20, 2026. This is consistent with the Viessmann family's ongoing monetization of their CARR stake received in the 2023 acquisition and is not a signal of fundamental concern, but the size (~$790M at ~$65/share) is notable and represents a meaningful overhang. No open-market purchases by management or other directors were identified in the period.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Viessmann, Maximilian</w:t>
            </w:r>
          </w:p>
        </w:tc>
        <w:tc>
          <w:tcPr>
            <w:tcW w:type="dxa" w:w="1234"/>
          </w:tcPr>
          <w:p>
            <w:r>
              <w:rPr>
                <w:rFonts w:ascii="Calibri" w:hAnsi="Calibri"/>
                <w:sz w:val="22"/>
              </w:rPr>
              <w:t>Director</w:t>
            </w:r>
          </w:p>
        </w:tc>
        <w:tc>
          <w:tcPr>
            <w:tcW w:type="dxa" w:w="1234"/>
          </w:tcPr>
          <w:p>
            <w:r>
              <w:rPr>
                <w:rFonts w:ascii="Calibri" w:hAnsi="Calibri"/>
                <w:sz w:val="22"/>
              </w:rPr>
              <w:t>Open Market Sale (Indirect)</w:t>
            </w:r>
          </w:p>
        </w:tc>
        <w:tc>
          <w:tcPr>
            <w:tcW w:type="dxa" w:w="1234"/>
          </w:tcPr>
          <w:p>
            <w:r>
              <w:rPr>
                <w:rFonts w:ascii="Calibri" w:hAnsi="Calibri"/>
                <w:sz w:val="22"/>
              </w:rPr>
              <w:t>12,094,823</w:t>
            </w:r>
          </w:p>
        </w:tc>
        <w:tc>
          <w:tcPr>
            <w:tcW w:type="dxa" w:w="1234"/>
          </w:tcPr>
          <w:p>
            <w:r>
              <w:rPr>
                <w:rFonts w:ascii="Calibri" w:hAnsi="Calibri"/>
                <w:sz w:val="22"/>
              </w:rPr>
              <w:t>~$787M (at ~$65/share)</w:t>
            </w:r>
          </w:p>
        </w:tc>
        <w:tc>
          <w:tcPr>
            <w:tcW w:type="dxa" w:w="1234"/>
          </w:tcPr>
          <w:p>
            <w:r>
              <w:rPr>
                <w:rFonts w:ascii="Calibri" w:hAnsi="Calibri"/>
                <w:sz w:val="22"/>
              </w:rPr>
              <w:t>May 20, 2026</w:t>
            </w:r>
          </w:p>
        </w:tc>
        <w:tc>
          <w:tcPr>
            <w:tcW w:type="dxa" w:w="1234"/>
          </w:tcPr>
          <w:p>
            <w:r>
              <w:rPr>
                <w:rFonts w:ascii="Calibri" w:hAnsi="Calibri"/>
                <w:sz w:val="22"/>
              </w:rPr>
              <w:t>Discretionary sale (NOT under 10b5-1 plan). Indirect ownership (family/trust structure). Remaining indirect holdings: 37,979,286 shares. Consistent with Viessmann family monetization of CARR stake received in 2023 Viessmann Climate Solutions acquisition. Not a management signal.</w:t>
            </w:r>
          </w:p>
        </w:tc>
      </w:tr>
    </w:tbl>
    <w:p>
      <w:r>
        <w:rPr>
          <w:rFonts w:ascii="Calibri" w:hAnsi="Calibri"/>
          <w:b/>
          <w:color w:val="525866"/>
          <w:sz w:val="22"/>
        </w:rPr>
        <w:t xml:space="preserve">Source: </w:t>
      </w:r>
      <w:r>
        <w:rPr>
          <w:rFonts w:ascii="Calibri" w:hAnsi="Calibri"/>
          <w:color w:val="525866"/>
          <w:sz w:val="22"/>
        </w:rPr>
        <w:t>SEC Form 4 filing, Viessmann Maximilian (CARR), filed May 20, 2026. Transaction code: S (Sale). Insider Transaction Data (SEC EDGAR).</w:t>
      </w:r>
    </w:p>
    <w:p>
      <w:r>
        <w:rPr>
          <w:rFonts w:ascii="Calibri" w:hAnsi="Calibri"/>
          <w:b/>
          <w:color w:val="525866"/>
          <w:sz w:val="22"/>
        </w:rPr>
        <w:t xml:space="preserve">Additional Context: </w:t>
      </w:r>
      <w:r>
        <w:rPr>
          <w:rFonts w:ascii="Calibri" w:hAnsi="Calibri"/>
          <w:color w:val="525866"/>
          <w:sz w:val="22"/>
        </w:rPr>
        <w:t>No open-market purchases by executive officers or independent directors were identified in the May 27–July 27, 2026 window. The absence of management buying is not unusual given the stock's recovery from the Q1 print and the proximity to the earnings blackout period. The Viessmann family's continued monetization is a known overhang but does not reflect insider views on near-term fundamentals.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