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CBOE before writing the preview. Let me gather recent filings, transcripts, news, and price data.Let me read the most recent earnings materials and investigate the notable price moves (the May 1 jump and the early-June drop).Q1 was a blockbuster beat with a big guidance raise. But the stock had a dramatic ~20% collapse in early June. Let me investigate what drove that and gather recent news/analyst context.Let me get the latest 8-K on the credit facility and recent daily news, plus check quarterly volume/VIX context to frame Q2 expectations.I have strong context now. Let me quickly grab the year-ago (Q2 2025) headline figures to frame the YoY comparison, then write the preview.I now have what I need. Here's the preview.</w:t>
      </w:r>
    </w:p>
    <w:p>
      <w:r>
        <w:pict>
          <v:rect style="width:0;height:1.5pt" o:hralign="center" o:hrstd="t" o:hr="t"/>
        </w:pict>
      </w:r>
    </w:p>
    <w:bookmarkStart w:id="21" w:name="Xb4020a969e4d1f0aa2a4b3b07b5c75cb1eda37a"/>
    <w:p>
      <w:pPr>
        <w:pStyle w:val="Heading1"/>
      </w:pPr>
      <w:r>
        <w:t xml:space="preserve">Cboe Global Markets (CBOE) — Q2 2026 Earnings Preview</w:t>
      </w:r>
    </w:p>
    <w:bookmarkStart w:id="9" w:name="Xcf1ab63c6b2f6cb6ee36e7f4c508a20e1f1149a"/>
    <w:p>
      <w:pPr>
        <w:pStyle w:val="Heading3"/>
      </w:pPr>
      <w:r>
        <w:t xml:space="preserve">Reports before the open, Friday, July 31, 2026 | 2026Q2 Earnings Call</w:t>
      </w:r>
    </w:p>
    <w:bookmarkEnd w:id="9"/>
    <w:bookmarkStart w:id="10" w:name="the-one-line-setup"/>
    <w:p>
      <w:pPr>
        <w:pStyle w:val="Heading2"/>
      </w:pPr>
      <w:r>
        <w:t xml:space="preserve">The one-line setup</w:t>
      </w:r>
    </w:p>
    <w:p>
      <w:pPr>
        <w:pStyle w:val="FirstParagraph"/>
      </w:pPr>
      <w:r>
        <w:t xml:space="preserve">Cboe heads into Q2 with all the momentum of a blockbuster Q1, a volatility-rich macro backdrop, and a stock that has round-tripped a huge swing. The debate isn't whether the quarter was good — it's whether management raises guidance</w:t>
      </w:r>
      <w:r>
        <w:t xml:space="preserve"> </w:t>
      </w:r>
      <w:r>
        <w:rPr>
          <w:i/>
          <w:iCs/>
        </w:rPr>
        <w:t xml:space="preserve">again</w:t>
      </w:r>
      <w:r>
        <w:t xml:space="preserve">, how much of the realignment savings and Canada/Australia divestitures are landing, and how the event-contracts/prediction-markets narrative evolves. Expect a likely Q3 dividend hike to accompany the print.</w:t>
      </w:r>
    </w:p>
    <w:p>
      <w:r>
        <w:pict>
          <v:rect style="width:0;height:1.5pt" o:hralign="center" o:hrstd="t" o:hr="t"/>
        </w:pict>
      </w:r>
    </w:p>
    <w:bookmarkEnd w:id="10"/>
    <w:bookmarkStart w:id="11" w:name="Xd4a6892873cbe8ead4e40a5fe1365320a59a2ea"/>
    <w:p>
      <w:pPr>
        <w:pStyle w:val="Heading2"/>
      </w:pPr>
      <w:r>
        <w:t xml:space="preserve">1. Why the bar is high: the Q1 2026 blowout</w:t>
      </w:r>
    </w:p>
    <w:p>
      <w:pPr>
        <w:pStyle w:val="FirstParagraph"/>
      </w:pPr>
      <w:r>
        <w:t xml:space="preserve">The May 1 report reset expectations dramatically: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Q1 2026</w:t>
            </w:r>
          </w:p>
        </w:tc>
        <w:tc>
          <w:tcPr/>
          <w:p>
            <w:pPr>
              <w:pStyle w:val="Compact"/>
            </w:pPr>
            <w:r>
              <w:t xml:space="preserve">YoY</w:t>
            </w:r>
          </w:p>
        </w:tc>
      </w:tr>
      <w:tr>
        <w:tc>
          <w:tcPr/>
          <w:p>
            <w:pPr>
              <w:pStyle w:val="Compact"/>
            </w:pPr>
            <w:r>
              <w:t xml:space="preserve">Net revenue</w:t>
            </w:r>
          </w:p>
        </w:tc>
        <w:tc>
          <w:tcPr/>
          <w:p>
            <w:pPr>
              <w:pStyle w:val="Compact"/>
            </w:pPr>
            <w:r>
              <w:t xml:space="preserve">$728.9M (record)</w:t>
            </w:r>
          </w:p>
        </w:tc>
        <w:tc>
          <w:tcPr/>
          <w:p>
            <w:pPr>
              <w:pStyle w:val="Compact"/>
            </w:pPr>
            <w:r>
              <w:t xml:space="preserve">+29%</w:t>
            </w:r>
          </w:p>
        </w:tc>
      </w:tr>
      <w:tr>
        <w:tc>
          <w:tcPr/>
          <w:p>
            <w:pPr>
              <w:pStyle w:val="Compact"/>
            </w:pPr>
            <w:r>
              <w:t xml:space="preserve">Adjusted diluted EPS</w:t>
            </w:r>
          </w:p>
        </w:tc>
        <w:tc>
          <w:tcPr/>
          <w:p>
            <w:pPr>
              <w:pStyle w:val="Compact"/>
            </w:pPr>
            <w:r>
              <w:t xml:space="preserve">$3.70 (record)</w:t>
            </w:r>
          </w:p>
        </w:tc>
        <w:tc>
          <w:tcPr/>
          <w:p>
            <w:pPr>
              <w:pStyle w:val="Compact"/>
            </w:pPr>
            <w:r>
              <w:t xml:space="preserve">+48%</w:t>
            </w:r>
          </w:p>
        </w:tc>
      </w:tr>
      <w:tr>
        <w:tc>
          <w:tcPr/>
          <w:p>
            <w:pPr>
              <w:pStyle w:val="Compact"/>
            </w:pPr>
            <w:r>
              <w:t xml:space="preserve">Adj. operating margin</w:t>
            </w:r>
          </w:p>
        </w:tc>
        <w:tc>
          <w:tcPr/>
          <w:p>
            <w:pPr>
              <w:pStyle w:val="Compact"/>
            </w:pPr>
            <w:r>
              <w:t xml:space="preserve">72.4%</w:t>
            </w:r>
          </w:p>
        </w:tc>
        <w:tc>
          <w:tcPr/>
          <w:p>
            <w:pPr>
              <w:pStyle w:val="Compact"/>
            </w:pPr>
            <w:r>
              <w:t xml:space="preserve">+6.4pp</w:t>
            </w:r>
          </w:p>
        </w:tc>
      </w:tr>
      <w:tr>
        <w:tc>
          <w:tcPr/>
          <w:p>
            <w:pPr>
              <w:pStyle w:val="Compact"/>
            </w:pPr>
            <w:r>
              <w:t xml:space="preserve">Adj. operating EBITDA</w:t>
            </w:r>
          </w:p>
        </w:tc>
        <w:tc>
          <w:tcPr/>
          <w:p>
            <w:pPr>
              <w:pStyle w:val="Compact"/>
            </w:pPr>
            <w:r>
              <w:t xml:space="preserve">$540.8M</w:t>
            </w:r>
          </w:p>
        </w:tc>
        <w:tc>
          <w:tcPr/>
          <w:p>
            <w:pPr>
              <w:pStyle w:val="Compact"/>
            </w:pPr>
            <w:r>
              <w:t xml:space="preserve">+41%</w:t>
            </w:r>
          </w:p>
        </w:tc>
      </w:tr>
    </w:tbl>
    <w:p>
      <w:pPr>
        <w:pStyle w:val="BodyText"/>
      </w:pPr>
      <w:r>
        <w:t xml:space="preserve">Growth was broad-based — record net revenue in</w:t>
      </w:r>
      <w:r>
        <w:t xml:space="preserve"> </w:t>
      </w:r>
      <w:r>
        <w:rPr>
          <w:b/>
          <w:bCs/>
        </w:rPr>
        <w:t xml:space="preserve">every</w:t>
      </w:r>
      <w:r>
        <w:t xml:space="preserve"> </w:t>
      </w:r>
      <w:r>
        <w:t xml:space="preserve">major category, with</w:t>
      </w:r>
      <w:r>
        <w:t xml:space="preserve"> </w:t>
      </w:r>
      <w:r>
        <w:rPr>
          <w:b/>
          <w:bCs/>
        </w:rPr>
        <w:t xml:space="preserve">SPX options averaging ~4.9M contracts/day</w:t>
      </w:r>
      <w:r>
        <w:t xml:space="preserve"> </w:t>
      </w:r>
      <w:r>
        <w:t xml:space="preserve">(a record) and a March monthly record of 5.4M. Crucially, management</w:t>
      </w:r>
      <w:r>
        <w:t xml:space="preserve"> </w:t>
      </w:r>
      <w:r>
        <w:rPr>
          <w:b/>
          <w:bCs/>
        </w:rPr>
        <w:t xml:space="preserve">raised the full-year 2026 organic net revenue growth target to "low-double-digit to mid-teens" (from mid-single-digit)</w:t>
      </w:r>
      <w:r>
        <w:t xml:space="preserve">, lifted Data Vantage to "low-double-digit," and</w:t>
      </w:r>
      <w:r>
        <w:t xml:space="preserve"> </w:t>
      </w:r>
      <w:r>
        <w:rPr>
          <w:i/>
          <w:iCs/>
        </w:rPr>
        <w:t xml:space="preserve">cut</w:t>
      </w:r>
      <w:r>
        <w:t xml:space="preserve"> </w:t>
      </w:r>
      <w:r>
        <w:t xml:space="preserve">adjusted opex guidance to</w:t>
      </w:r>
      <w:r>
        <w:t xml:space="preserve"> </w:t>
      </w:r>
      <w:r>
        <w:rPr>
          <w:b/>
          <w:bCs/>
        </w:rPr>
        <w:t xml:space="preserve">$838–853M</w:t>
      </w:r>
      <w:r>
        <w:t xml:space="preserve"> </w:t>
      </w:r>
      <w:r>
        <w:t xml:space="preserve">(from $864–879M). That combination — accelerating revenue + falling cost guide — is why the stock gapped up ~9% on the print.</w:t>
      </w:r>
    </w:p>
    <w:p>
      <w:pPr>
        <w:pStyle w:val="BodyText"/>
      </w:pPr>
      <w:r>
        <w:rPr>
          <w:b/>
          <w:bCs/>
        </w:rPr>
        <w:t xml:space="preserve">Read-through for Q2:</w:t>
      </w:r>
      <w:r>
        <w:t xml:space="preserve"> </w:t>
      </w:r>
      <w:r>
        <w:t xml:space="preserve">the comparison base is Q2 2025's</w:t>
      </w:r>
      <w:r>
        <w:t xml:space="preserve"> </w:t>
      </w:r>
      <m:oMath>
        <m:r>
          <m:t>587.3</m:t>
        </m:r>
        <m:r>
          <m:t>M</m:t>
        </m:r>
        <m:r>
          <m:t>n</m:t>
        </m:r>
        <m:r>
          <m:t>e</m:t>
        </m:r>
        <m:r>
          <m:t>t</m:t>
        </m:r>
        <m:r>
          <m:t>r</m:t>
        </m:r>
        <m:r>
          <m:t>e</m:t>
        </m:r>
        <m:r>
          <m:t>v</m:t>
        </m:r>
        <m:r>
          <m:t>e</m:t>
        </m:r>
        <m:r>
          <m:t>n</m:t>
        </m:r>
        <m:r>
          <m:t>u</m:t>
        </m:r>
        <m:r>
          <m:t>e</m:t>
        </m:r>
        <m:r>
          <m:rPr>
            <m:sty m:val="p"/>
          </m:rPr>
          <m:t>/</m:t>
        </m:r>
        <m:r>
          <m:rPr>
            <m:sty m:val="p"/>
          </m:rPr>
          <m:t>*</m:t>
        </m:r>
        <m:r>
          <m:rPr>
            <m:sty m:val="p"/>
          </m:rPr>
          <m:t>*</m:t>
        </m:r>
      </m:oMath>
      <w:r>
        <w:t xml:space="preserve">2.46 adjusted EPS**. Given the volatility backdrop (below), the market is positioned for another quarter of strong double-digit YoY growth. After a raise like Q1's, "in-line" may not be enough to move the stock — investors will want a</w:t>
      </w:r>
      <w:r>
        <w:t xml:space="preserve"> </w:t>
      </w:r>
      <w:r>
        <w:rPr>
          <w:i/>
          <w:iCs/>
        </w:rPr>
        <w:t xml:space="preserve">second</w:t>
      </w:r>
      <w:r>
        <w:t xml:space="preserve"> </w:t>
      </w:r>
      <w:r>
        <w:t xml:space="preserve">guidance bump.</w:t>
      </w:r>
    </w:p>
    <w:p>
      <w:r>
        <w:pict>
          <v:rect style="width:0;height:1.5pt" o:hralign="center" o:hrstd="t" o:hr="t"/>
        </w:pict>
      </w:r>
    </w:p>
    <w:bookmarkEnd w:id="11"/>
    <w:bookmarkStart w:id="12" w:name="X174d10276cc5ca3562a2050f2089f72f7d3688e"/>
    <w:p>
      <w:pPr>
        <w:pStyle w:val="Heading2"/>
      </w:pPr>
      <w:r>
        <w:t xml:space="preserve">2. The macro tailwind: a genuinely volatile tape</w:t>
      </w:r>
    </w:p>
    <w:p>
      <w:pPr>
        <w:pStyle w:val="FirstParagraph"/>
      </w:pPr>
      <w:r>
        <w:t xml:space="preserve">Q2 (April–June 2026) spanned an unusually active risk environment, which is the single most important swing factor for Cboe's index-options and VIX franchises:</w:t>
      </w:r>
    </w:p>
    <w:p>
      <w:pPr>
        <w:pStyle w:val="Compact"/>
        <w:numPr>
          <w:ilvl w:val="0"/>
          <w:numId w:val="1001"/>
        </w:numPr>
      </w:pPr>
      <w:r>
        <w:rPr>
          <w:b/>
          <w:bCs/>
        </w:rPr>
        <w:t xml:space="preserve">US–Iran conflict.</w:t>
      </w:r>
      <w:r>
        <w:t xml:space="preserve"> </w:t>
      </w:r>
      <w:r>
        <w:t xml:space="preserve">Military escalation in the Persian Gulf, strikes exchanged, and the Strait of Hormuz effectively shut drove oil spikes and equity volatility. Management flagged the "Iran war" as a March catalyst that shifted flow toward longer-dated (non-0DTE) hedging — a positive mix for RPC.</w:t>
      </w:r>
    </w:p>
    <w:p>
      <w:pPr>
        <w:pStyle w:val="Compact"/>
        <w:numPr>
          <w:ilvl w:val="0"/>
          <w:numId w:val="1001"/>
        </w:numPr>
      </w:pPr>
      <w:r>
        <w:rPr>
          <w:b/>
          <w:bCs/>
        </w:rPr>
        <w:t xml:space="preserve">A sharp late-May/June selloff.</w:t>
      </w:r>
      <w:r>
        <w:t xml:space="preserve"> </w:t>
      </w:r>
      <w:r>
        <w:t xml:space="preserve">Equities and the whole exchange group sold off hard into early June (CBOE fell from ~</w:t>
      </w:r>
      <m:oMath>
        <m:r>
          <m:t>366</m:t>
        </m:r>
        <m:r>
          <m:t>t</m:t>
        </m:r>
        <m:r>
          <m:t>o</m:t>
        </m:r>
        <m:r>
          <m:t>a</m:t>
        </m:r>
        <m:r>
          <m:t> </m:t>
        </m:r>
      </m:oMath>
      <w:r>
        <w:t xml:space="preserve">231 low), the kind of tape that historically drives record VIX and SPX activity.</w:t>
      </w:r>
    </w:p>
    <w:p>
      <w:pPr>
        <w:pStyle w:val="Compact"/>
        <w:numPr>
          <w:ilvl w:val="0"/>
          <w:numId w:val="1001"/>
        </w:numPr>
      </w:pPr>
      <w:r>
        <w:rPr>
          <w:b/>
          <w:bCs/>
        </w:rPr>
        <w:t xml:space="preserve">Fed uncertainty under new Chair Kevin Warsh.</w:t>
      </w:r>
      <w:r>
        <w:t xml:space="preserve"> </w:t>
      </w:r>
      <w:r>
        <w:t xml:space="preserve">The Fed held rates for a fifth straight meeting on July 29 amid inflation running above target for five years; markets are openly questioning Warsh's credibility, with long yields spiking. Persistent policy uncertainty is a structural positive for hedging demand.</w:t>
      </w:r>
    </w:p>
    <w:p>
      <w:pPr>
        <w:pStyle w:val="FirstParagraph"/>
      </w:pPr>
      <w:r>
        <w:rPr>
          <w:b/>
          <w:bCs/>
        </w:rPr>
        <w:t xml:space="preserve">What to watch:</w:t>
      </w:r>
      <w:r>
        <w:t xml:space="preserve"> </w:t>
      </w:r>
      <w:r>
        <w:t xml:space="preserve">whether Q2 SPX and VIX ADV set fresh records, and whether the non-0DTE/0DTE mix and index-options RPC (already $0.940 in Q1) held up. Higher index mix = higher blended RPC = operating leverage.</w:t>
      </w:r>
    </w:p>
    <w:p>
      <w:r>
        <w:pict>
          <v:rect style="width:0;height:1.5pt" o:hralign="center" o:hrstd="t" o:hr="t"/>
        </w:pict>
      </w:r>
    </w:p>
    <w:bookmarkEnd w:id="12"/>
    <w:bookmarkStart w:id="13" w:name="Xe697cad8cda69d5b91f476ea6d8afe7ac191d83"/>
    <w:p>
      <w:pPr>
        <w:pStyle w:val="Heading2"/>
      </w:pPr>
      <w:r>
        <w:t xml:space="preserve">3. Key numbers and segment watch-items</w:t>
      </w:r>
    </w:p>
    <w:p>
      <w:pPr>
        <w:pStyle w:val="Compact"/>
        <w:numPr>
          <w:ilvl w:val="0"/>
          <w:numId w:val="1002"/>
        </w:numPr>
      </w:pPr>
      <w:r>
        <w:rPr>
          <w:b/>
          <w:bCs/>
        </w:rPr>
        <w:t xml:space="preserve">Index options</w:t>
      </w:r>
      <w:r>
        <w:t xml:space="preserve"> </w:t>
      </w:r>
      <w:r>
        <w:t xml:space="preserve">— the profit engine. Q1 index ADV +29% YoY; watch for continued records and RPC stability (~$0.94).</w:t>
      </w:r>
    </w:p>
    <w:p>
      <w:pPr>
        <w:pStyle w:val="Compact"/>
        <w:numPr>
          <w:ilvl w:val="0"/>
          <w:numId w:val="1002"/>
        </w:numPr>
      </w:pPr>
      <w:r>
        <w:rPr>
          <w:b/>
          <w:bCs/>
        </w:rPr>
        <w:t xml:space="preserve">Multi-listed options</w:t>
      </w:r>
      <w:r>
        <w:t xml:space="preserve"> </w:t>
      </w:r>
      <w:r>
        <w:t xml:space="preserve">— Q1 RPC jumped 21% YoY to $0.080; is that step-up durable or was it fee/mix-driven?</w:t>
      </w:r>
    </w:p>
    <w:p>
      <w:pPr>
        <w:pStyle w:val="Compact"/>
        <w:numPr>
          <w:ilvl w:val="0"/>
          <w:numId w:val="1002"/>
        </w:numPr>
      </w:pPr>
      <w:r>
        <w:rPr>
          <w:b/>
          <w:bCs/>
        </w:rPr>
        <w:t xml:space="preserve">Data Vantage</w:t>
      </w:r>
      <w:r>
        <w:t xml:space="preserve"> </w:t>
      </w:r>
      <w:r>
        <w:t xml:space="preserve">— Q1 grew 19%, but ~85% was units/new sales and management flagged</w:t>
      </w:r>
      <w:r>
        <w:t xml:space="preserve"> </w:t>
      </w:r>
      <w:r>
        <w:rPr>
          <w:b/>
          <w:bCs/>
        </w:rPr>
        <w:t xml:space="preserve">one-time historical data sales</w:t>
      </w:r>
      <w:r>
        <w:t xml:space="preserve"> </w:t>
      </w:r>
      <w:r>
        <w:t xml:space="preserve">tied to two new product launches. The full-year guide is only "low-double-digit," so a sequential normalization is expected — don't over-extrapolate the 19%.</w:t>
      </w:r>
    </w:p>
    <w:p>
      <w:pPr>
        <w:pStyle w:val="Compact"/>
        <w:numPr>
          <w:ilvl w:val="0"/>
          <w:numId w:val="1002"/>
        </w:numPr>
      </w:pPr>
      <w:r>
        <w:rPr>
          <w:b/>
          <w:bCs/>
        </w:rPr>
        <w:t xml:space="preserve">Europe/APAC &amp; Global FX</w:t>
      </w:r>
      <w:r>
        <w:t xml:space="preserve"> </w:t>
      </w:r>
      <w:r>
        <w:t xml:space="preserve">— both hit records in Q1 (+32% and +38%); FX ADNV and European market share (25.5%) are the tells. Note FX/Europe carry FX-translation sensitivity.</w:t>
      </w:r>
    </w:p>
    <w:p>
      <w:pPr>
        <w:pStyle w:val="Compact"/>
        <w:numPr>
          <w:ilvl w:val="0"/>
          <w:numId w:val="1002"/>
        </w:numPr>
      </w:pPr>
      <w:r>
        <w:rPr>
          <w:b/>
          <w:bCs/>
        </w:rPr>
        <w:t xml:space="preserve">Futures</w:t>
      </w:r>
      <w:r>
        <w:t xml:space="preserve"> </w:t>
      </w:r>
      <w:r>
        <w:t xml:space="preserve">— the laggard (+9% in Q1); VIX futures activity in a volatile quarter is the key driver.</w:t>
      </w:r>
    </w:p>
    <w:p>
      <w:pPr>
        <w:pStyle w:val="Compact"/>
        <w:numPr>
          <w:ilvl w:val="0"/>
          <w:numId w:val="1002"/>
        </w:numPr>
      </w:pPr>
      <w:r>
        <w:rPr>
          <w:b/>
          <w:bCs/>
        </w:rPr>
        <w:t xml:space="preserve">Modeling note:</w:t>
      </w:r>
      <w:r>
        <w:t xml:space="preserve"> </w:t>
      </w:r>
      <w:r>
        <w:t xml:space="preserve">the disappearance of the Section 31/regulatory-fee gross-up in 2026 optically compresses gross revenue and gross cost of revenue but is roughly net-neutral to</w:t>
      </w:r>
      <w:r>
        <w:t xml:space="preserve"> </w:t>
      </w:r>
      <w:r>
        <w:rPr>
          <w:i/>
          <w:iCs/>
        </w:rPr>
        <w:t xml:space="preserve">net</w:t>
      </w:r>
      <w:r>
        <w:t xml:space="preserve"> </w:t>
      </w:r>
      <w:r>
        <w:t xml:space="preserve">revenue — keep YoY net-revenue comparisons clean.</w:t>
      </w:r>
    </w:p>
    <w:p>
      <w:r>
        <w:pict>
          <v:rect style="width:0;height:1.5pt" o:hralign="center" o:hrstd="t" o:hr="t"/>
        </w:pict>
      </w:r>
    </w:p>
    <w:bookmarkEnd w:id="13"/>
    <w:bookmarkStart w:id="14" w:name="X1e3f9f2c08ebb3a7aae23d93a9f484105bd0548"/>
    <w:p>
      <w:pPr>
        <w:pStyle w:val="Heading2"/>
      </w:pPr>
      <w:r>
        <w:t xml:space="preserve">4. Guidance — the real event</w:t>
      </w:r>
    </w:p>
    <w:p>
      <w:pPr>
        <w:pStyle w:val="FirstParagraph"/>
      </w:pPr>
      <w:r>
        <w:t xml:space="preserve">This is the crux. After the aggressive Q1 raise, the questions are:</w:t>
      </w:r>
    </w:p>
    <w:p>
      <w:pPr>
        <w:pStyle w:val="Compact"/>
        <w:numPr>
          <w:ilvl w:val="0"/>
          <w:numId w:val="1003"/>
        </w:numPr>
      </w:pPr>
      <w:r>
        <w:rPr>
          <w:b/>
          <w:bCs/>
        </w:rPr>
        <w:t xml:space="preserve">Does organic revenue guidance move up again</w:t>
      </w:r>
      <w:r>
        <w:t xml:space="preserve"> </w:t>
      </w:r>
      <w:r>
        <w:t xml:space="preserve">from "low-double-digit to mid-teens," or does management hold given the tougher 2H comps?</w:t>
      </w:r>
    </w:p>
    <w:p>
      <w:pPr>
        <w:pStyle w:val="Compact"/>
        <w:numPr>
          <w:ilvl w:val="0"/>
          <w:numId w:val="1003"/>
        </w:numPr>
      </w:pPr>
      <w:r>
        <w:rPr>
          <w:b/>
          <w:bCs/>
        </w:rPr>
        <w:t xml:space="preserve">Expense discipline</w:t>
      </w:r>
      <w:r>
        <w:t xml:space="preserve"> </w:t>
      </w:r>
      <w:r>
        <w:t xml:space="preserve">— reaffirm/lower the $838–853M adjusted opex range? Q1 opex was only $200.9M (+4% YoY), well below run-rate, so there's room.</w:t>
      </w:r>
    </w:p>
    <w:p>
      <w:pPr>
        <w:pStyle w:val="Compact"/>
        <w:numPr>
          <w:ilvl w:val="0"/>
          <w:numId w:val="1003"/>
        </w:numPr>
      </w:pPr>
      <w:r>
        <w:rPr>
          <w:b/>
          <w:bCs/>
        </w:rPr>
        <w:t xml:space="preserve">Data Vantage</w:t>
      </w:r>
      <w:r>
        <w:t xml:space="preserve"> </w:t>
      </w:r>
      <w:r>
        <w:t xml:space="preserve">— any read on whether "low-double-digit" is conservative.</w:t>
      </w:r>
    </w:p>
    <w:p>
      <w:r>
        <w:pict>
          <v:rect style="width:0;height:1.5pt" o:hralign="center" o:hrstd="t" o:hr="t"/>
        </w:pict>
      </w:r>
    </w:p>
    <w:bookmarkEnd w:id="14"/>
    <w:bookmarkStart w:id="15" w:name="X0b4b7edfa9a5d55958646ea3b49e8001961b00a"/>
    <w:p>
      <w:pPr>
        <w:pStyle w:val="Heading2"/>
      </w:pPr>
      <w:r>
        <w:t xml:space="preserve">5. Strategic realignment — show me the progress</w:t>
      </w:r>
    </w:p>
    <w:p>
      <w:pPr>
        <w:pStyle w:val="FirstParagraph"/>
      </w:pPr>
      <w:r>
        <w:t xml:space="preserve">CEO Craig Donohue (one year in), COO Scott Johnston, and CFO Jill Griebenow have engineered an aggressive reshaping. Track updates on:</w:t>
      </w:r>
    </w:p>
    <w:p>
      <w:pPr>
        <w:pStyle w:val="Compact"/>
        <w:numPr>
          <w:ilvl w:val="0"/>
          <w:numId w:val="1004"/>
        </w:numPr>
      </w:pPr>
      <w:r>
        <w:rPr>
          <w:b/>
          <w:bCs/>
        </w:rPr>
        <w:t xml:space="preserve">~20% total workforce reduction</w:t>
      </w:r>
      <w:r>
        <w:t xml:space="preserve"> </w:t>
      </w:r>
      <w:r>
        <w:t xml:space="preserve">(earlier exits + the additional Q1 actions), plus a return-to-office mandate.</w:t>
      </w:r>
    </w:p>
    <w:p>
      <w:pPr>
        <w:pStyle w:val="Compact"/>
        <w:numPr>
          <w:ilvl w:val="0"/>
          <w:numId w:val="1004"/>
        </w:numPr>
      </w:pPr>
      <w:r>
        <w:t xml:space="preserve">**Expense savings now targeted at</w:t>
      </w:r>
      <w:r>
        <w:t xml:space="preserve"> </w:t>
      </w:r>
      <m:oMath>
        <m:r>
          <m:t>100</m:t>
        </m:r>
        <m:r>
          <m:rPr>
            <m:sty m:val="p"/>
          </m:rPr>
          <m:t>–</m:t>
        </m:r>
        <m:r>
          <m:t>120</m:t>
        </m:r>
        <m:r>
          <m:t>M</m:t>
        </m:r>
        <m:r>
          <m:t>a</m:t>
        </m:r>
        <m:r>
          <m:t>n</m:t>
        </m:r>
        <m:r>
          <m:t>n</m:t>
        </m:r>
        <m:r>
          <m:t>u</m:t>
        </m:r>
        <m:r>
          <m:t>a</m:t>
        </m:r>
        <m:r>
          <m:t>l</m:t>
        </m:r>
        <m:r>
          <m:t>i</m:t>
        </m:r>
        <m:r>
          <m:t>z</m:t>
        </m:r>
        <m:r>
          <m:t>e</m:t>
        </m:r>
        <m:r>
          <m:t>d</m:t>
        </m:r>
        <m:r>
          <m:rPr>
            <m:sty m:val="p"/>
          </m:rPr>
          <m:t>(</m:t>
        </m:r>
        <m:r>
          <m:t>12</m:t>
        </m:r>
        <m:r>
          <m:rPr>
            <m:sty m:val="p"/>
          </m:rPr>
          <m:t>–</m:t>
        </m:r>
        <m:r>
          <m:t>14</m:t>
        </m:r>
      </m:oMath>
      <w:r>
        <w:t xml:space="preserve">20–25M is in the 2026 guide; the majority of the incremental $40–50M lands later in 2026 into 2027, and the</w:t>
      </w:r>
      <w:r>
        <w:t xml:space="preserve"> </w:t>
      </w:r>
      <w:r>
        <w:rPr>
          <w:b/>
          <w:bCs/>
        </w:rPr>
        <w:t xml:space="preserve">Canada/Australia-related $40–50M is NOT yet in guidance</w:t>
      </w:r>
      <w:r>
        <w:t xml:space="preserve"> </w:t>
      </w:r>
      <w:r>
        <w:t xml:space="preserve">(recognized only after close).</w:t>
      </w:r>
    </w:p>
    <w:p>
      <w:pPr>
        <w:pStyle w:val="Compact"/>
        <w:numPr>
          <w:ilvl w:val="0"/>
          <w:numId w:val="1004"/>
        </w:numPr>
      </w:pPr>
      <w:r>
        <w:rPr>
          <w:b/>
          <w:bCs/>
        </w:rPr>
        <w:t xml:space="preserve">Canada &amp; Australia divestitures</w:t>
      </w:r>
      <w:r>
        <w:t xml:space="preserve"> </w:t>
      </w:r>
      <w:r>
        <w:t xml:space="preserve">— definitive agreement signed; watch for closing/regulatory timing. Until close, ~$60–70M of annualized revenue and $40–50M of opex remain in the numbers. Guidance will be updated as these close, so a mid-year "recut" is possible.</w:t>
      </w:r>
    </w:p>
    <w:p>
      <w:pPr>
        <w:pStyle w:val="Compact"/>
        <w:numPr>
          <w:ilvl w:val="0"/>
          <w:numId w:val="1004"/>
        </w:numPr>
      </w:pPr>
      <w:r>
        <w:t xml:space="preserve">Wind-downs of Japanese equities, CEDX (European derivatives), and corporate listings; scaled-back ETP listings and analytics.</w:t>
      </w:r>
    </w:p>
    <w:p>
      <w:pPr>
        <w:pStyle w:val="FirstParagraph"/>
      </w:pPr>
      <w:r>
        <w:t xml:space="preserve">Net effect: a deliberate pivot from "bigger" to "sharper and higher-margin" — reallocating capital toward derivatives, clearing, and new growth areas.</w:t>
      </w:r>
    </w:p>
    <w:p>
      <w:r>
        <w:pict>
          <v:rect style="width:0;height:1.5pt" o:hralign="center" o:hrstd="t" o:hr="t"/>
        </w:pict>
      </w:r>
    </w:p>
    <w:bookmarkEnd w:id="15"/>
    <w:bookmarkStart w:id="16" w:name="Xd7345846012805a473a7878a0f9a81783810272"/>
    <w:p>
      <w:pPr>
        <w:pStyle w:val="Heading2"/>
      </w:pPr>
      <w:r>
        <w:t xml:space="preserve">6. Event/prediction markets &amp; the SPX exclusivity question</w:t>
      </w:r>
    </w:p>
    <w:p>
      <w:pPr>
        <w:pStyle w:val="FirstParagraph"/>
      </w:pPr>
      <w:r>
        <w:t xml:space="preserve">The most important</w:t>
      </w:r>
      <w:r>
        <w:t xml:space="preserve"> </w:t>
      </w:r>
      <w:r>
        <w:rPr>
          <w:i/>
          <w:iCs/>
        </w:rPr>
        <w:t xml:space="preserve">long-term</w:t>
      </w:r>
      <w:r>
        <w:t xml:space="preserve"> </w:t>
      </w:r>
      <w:r>
        <w:t xml:space="preserve">narrative:</w:t>
      </w:r>
    </w:p>
    <w:p>
      <w:pPr>
        <w:pStyle w:val="Compact"/>
        <w:numPr>
          <w:ilvl w:val="0"/>
          <w:numId w:val="1005"/>
        </w:numPr>
      </w:pPr>
      <w:r>
        <w:rPr>
          <w:b/>
          <w:bCs/>
        </w:rPr>
        <w:t xml:space="preserve">Securities-based event contracts</w:t>
      </w:r>
      <w:r>
        <w:t xml:space="preserve"> </w:t>
      </w:r>
      <w:r>
        <w:t xml:space="preserve">(binary/vertical-spread structures on XSP/Mini-SPX) are pending regulatory approval, leveraging existing OCC-cleared, retail-broker-connected infrastructure. Phase 2 ambition:</w:t>
      </w:r>
      <w:r>
        <w:t xml:space="preserve"> </w:t>
      </w:r>
      <w:r>
        <w:rPr>
          <w:b/>
          <w:bCs/>
        </w:rPr>
        <w:t xml:space="preserve">company-specific KPI contracts</w:t>
      </w:r>
      <w:r>
        <w:t xml:space="preserve"> </w:t>
      </w:r>
      <w:r>
        <w:t xml:space="preserve">(e.g., earnings, subscriber, production, ad-revenue outcomes) — a potentially enormous TAM if realized.</w:t>
      </w:r>
    </w:p>
    <w:p>
      <w:pPr>
        <w:pStyle w:val="Compact"/>
        <w:numPr>
          <w:ilvl w:val="0"/>
          <w:numId w:val="1005"/>
        </w:numPr>
      </w:pPr>
      <w:r>
        <w:rPr>
          <w:b/>
          <w:bCs/>
        </w:rPr>
        <w:t xml:space="preserve">Competitive/regulatory overhang:</w:t>
      </w:r>
      <w:r>
        <w:t xml:space="preserve"> </w:t>
      </w:r>
      <w:r>
        <w:t xml:space="preserve">rivals (e.g., Kalshi-type venues) have launched S&amp;P-500-linked binaries. Management argues broad-index binaries are inherently</w:t>
      </w:r>
      <w:r>
        <w:t xml:space="preserve"> </w:t>
      </w:r>
      <w:r>
        <w:rPr>
          <w:i/>
          <w:iCs/>
        </w:rPr>
        <w:t xml:space="preserve">securities</w:t>
      </w:r>
      <w:r>
        <w:t xml:space="preserve"> </w:t>
      </w:r>
      <w:r>
        <w:t xml:space="preserve">and is "optimistic" regulatory clarity protects its licensed products — but this is unresolved.</w:t>
      </w:r>
    </w:p>
    <w:p>
      <w:pPr>
        <w:pStyle w:val="Compact"/>
        <w:numPr>
          <w:ilvl w:val="0"/>
          <w:numId w:val="1005"/>
        </w:numPr>
      </w:pPr>
      <w:r>
        <w:rPr>
          <w:b/>
          <w:bCs/>
        </w:rPr>
        <w:t xml:space="preserve">SPX exclusivity runs to 2032</w:t>
      </w:r>
      <w:r>
        <w:t xml:space="preserve">, and competitors are eyeing that window. Management leaned hard into the depth/breadth of the SPX ecosystem (11 floor-broker groups, 34 retail platforms, balanced flow, 58% of notional traded on the floor) as the moat. Any new color here matters.</w:t>
      </w:r>
    </w:p>
    <w:p>
      <w:pPr>
        <w:pStyle w:val="Compact"/>
        <w:numPr>
          <w:ilvl w:val="0"/>
          <w:numId w:val="1005"/>
        </w:numPr>
      </w:pPr>
      <w:r>
        <w:t xml:space="preserve">Adjacent optionality:</w:t>
      </w:r>
      <w:r>
        <w:t xml:space="preserve"> </w:t>
      </w:r>
      <w:r>
        <w:rPr>
          <w:b/>
          <w:bCs/>
        </w:rPr>
        <w:t xml:space="preserve">tokenization/atomic settlement and expanded US/Europe clearing</w:t>
      </w:r>
      <w:r>
        <w:t xml:space="preserve"> </w:t>
      </w:r>
      <w:r>
        <w:t xml:space="preserve">(including securities-finance).</w:t>
      </w:r>
    </w:p>
    <w:p>
      <w:r>
        <w:pict>
          <v:rect style="width:0;height:1.5pt" o:hralign="center" o:hrstd="t" o:hr="t"/>
        </w:pict>
      </w:r>
    </w:p>
    <w:bookmarkEnd w:id="16"/>
    <w:bookmarkStart w:id="17" w:name="X00ab1dc75d595d135080509973868892c0d3553"/>
    <w:p>
      <w:pPr>
        <w:pStyle w:val="Heading2"/>
      </w:pPr>
      <w:r>
        <w:t xml:space="preserve">7. Capital returns and balance sheet</w:t>
      </w:r>
    </w:p>
    <w:p>
      <w:pPr>
        <w:pStyle w:val="Compact"/>
        <w:numPr>
          <w:ilvl w:val="0"/>
          <w:numId w:val="1006"/>
        </w:numPr>
      </w:pPr>
      <w:r>
        <w:rPr>
          <w:b/>
          <w:bCs/>
        </w:rPr>
        <w:t xml:space="preserve">Dividend:</w:t>
      </w:r>
      <w:r>
        <w:t xml:space="preserve"> </w:t>
      </w:r>
      <w:r>
        <w:t xml:space="preserve">Cboe has a history of</w:t>
      </w:r>
      <w:r>
        <w:t xml:space="preserve"> </w:t>
      </w:r>
      <w:r>
        <w:rPr>
          <w:b/>
          <w:bCs/>
        </w:rPr>
        <w:t xml:space="preserve">raising the dividend in Q3</w:t>
      </w:r>
      <w:r>
        <w:t xml:space="preserve"> </w:t>
      </w:r>
      <w:r>
        <w:t xml:space="preserve">— an increase from the current $0.72/quarter could be announced alongside or shortly after this print. High-probability positive catalyst.</w:t>
      </w:r>
    </w:p>
    <w:p>
      <w:pPr>
        <w:pStyle w:val="Compact"/>
        <w:numPr>
          <w:ilvl w:val="0"/>
          <w:numId w:val="1006"/>
        </w:numPr>
      </w:pPr>
      <w:r>
        <w:rPr>
          <w:b/>
          <w:bCs/>
        </w:rPr>
        <w:t xml:space="preserve">Buybacks:</w:t>
      </w:r>
      <w:r>
        <w:t xml:space="preserve"> </w:t>
      </w:r>
      <w:r>
        <w:t xml:space="preserve">resumed opportunistically (</w:t>
      </w:r>
      <m:oMath>
        <m:r>
          <m:t>45</m:t>
        </m:r>
        <m:r>
          <m:t>M</m:t>
        </m:r>
        <m:r>
          <m:t>i</m:t>
        </m:r>
        <m:r>
          <m:t>n</m:t>
        </m:r>
        <m:r>
          <m:t>Q</m:t>
        </m:r>
        <m:r>
          <m:t>1</m:t>
        </m:r>
        <m:r>
          <m:rPr>
            <m:sty m:val="p"/>
          </m:rPr>
          <m:t>)</m:t>
        </m:r>
        <m:r>
          <m:rPr>
            <m:sty m:val="p"/>
          </m:rPr>
          <m:t>;</m:t>
        </m:r>
        <m:r>
          <m:t> </m:t>
        </m:r>
      </m:oMath>
      <w:r>
        <w:t xml:space="preserve">569M remained authorized at Q1-end. Watch pace given the June price dip created an attractive window.</w:t>
      </w:r>
    </w:p>
    <w:p>
      <w:pPr>
        <w:pStyle w:val="Compact"/>
        <w:numPr>
          <w:ilvl w:val="0"/>
          <w:numId w:val="1006"/>
        </w:numPr>
      </w:pPr>
      <w:r>
        <w:rPr>
          <w:b/>
          <w:bCs/>
        </w:rPr>
        <w:t xml:space="preserve">Fortress balance sheet:</w:t>
      </w:r>
      <w:r>
        <w:t xml:space="preserve"> </w:t>
      </w:r>
      <w:r>
        <w:t xml:space="preserve">~$2.1B adjusted cash and ~0.8x leverage at Q1, plus divestiture proceeds coming — ample capacity for organic investment, M&amp;A, or returns.</w:t>
      </w:r>
    </w:p>
    <w:p>
      <w:pPr>
        <w:pStyle w:val="Compact"/>
        <w:numPr>
          <w:ilvl w:val="0"/>
          <w:numId w:val="1006"/>
        </w:numPr>
      </w:pPr>
      <w:r>
        <w:rPr>
          <w:b/>
          <w:bCs/>
        </w:rPr>
        <w:t xml:space="preserve">Recent financing:</w:t>
      </w:r>
      <w:r>
        <w:t xml:space="preserve"> </w:t>
      </w:r>
      <w:r>
        <w:t xml:space="preserve">a new</w:t>
      </w:r>
      <w:r>
        <w:t xml:space="preserve"> </w:t>
      </w:r>
      <w:r>
        <w:rPr>
          <w:b/>
          <w:bCs/>
        </w:rPr>
        <w:t xml:space="preserve">$400M five-year revolving credit facility</w:t>
      </w:r>
      <w:r>
        <w:t xml:space="preserve"> </w:t>
      </w:r>
      <w:r>
        <w:t xml:space="preserve">(July 24, upsizable to</w:t>
      </w:r>
      <w:r>
        <w:t xml:space="preserve"> </w:t>
      </w:r>
      <m:oMath>
        <m:r>
          <m:t>600</m:t>
        </m:r>
        <m:r>
          <m:t>M</m:t>
        </m:r>
        <m:r>
          <m:rPr>
            <m:sty m:val="p"/>
          </m:rPr>
          <m:t>,</m:t>
        </m:r>
        <m:r>
          <m:t>c</m:t>
        </m:r>
        <m:r>
          <m:t>o</m:t>
        </m:r>
        <m:r>
          <m:t>v</m:t>
        </m:r>
        <m:r>
          <m:t>e</m:t>
        </m:r>
        <m:r>
          <m:t>n</m:t>
        </m:r>
        <m:r>
          <m:t>a</m:t>
        </m:r>
        <m:r>
          <m:t>n</m:t>
        </m:r>
        <m:r>
          <m:t>t</m:t>
        </m:r>
        <m:r>
          <m:t>s</m:t>
        </m:r>
        <m:r>
          <m:t>u</m:t>
        </m:r>
        <m:r>
          <m:t>p</m:t>
        </m:r>
        <m:r>
          <m:t>d</m:t>
        </m:r>
        <m:r>
          <m:t>a</m:t>
        </m:r>
        <m:r>
          <m:t>t</m:t>
        </m:r>
        <m:r>
          <m:t>e</m:t>
        </m:r>
        <m:r>
          <m:t>d</m:t>
        </m:r>
        <m:r>
          <m:t>t</m:t>
        </m:r>
        <m:r>
          <m:t>o</m:t>
        </m:r>
        <m:r>
          <m:t>s</m:t>
        </m:r>
        <m:r>
          <m:t>u</m:t>
        </m:r>
        <m:r>
          <m:t>p</m:t>
        </m:r>
        <m:r>
          <m:t>p</m:t>
        </m:r>
        <m:r>
          <m:t>o</m:t>
        </m:r>
        <m:r>
          <m:t>r</m:t>
        </m:r>
        <m:r>
          <m:t>t</m:t>
        </m:r>
        <m:r>
          <m:t>c</m:t>
        </m:r>
        <m:r>
          <m:t>l</m:t>
        </m:r>
        <m:r>
          <m:t>e</m:t>
        </m:r>
        <m:r>
          <m:t>a</m:t>
        </m:r>
        <m:r>
          <m:t>r</m:t>
        </m:r>
        <m:r>
          <m:t>i</m:t>
        </m:r>
        <m:r>
          <m:t>n</m:t>
        </m:r>
        <m:r>
          <m:t>g</m:t>
        </m:r>
        <m:r>
          <m:t>a</m:t>
        </m:r>
        <m:r>
          <m:t>c</m:t>
        </m:r>
        <m:r>
          <m:t>t</m:t>
        </m:r>
        <m:r>
          <m:t>i</m:t>
        </m:r>
        <m:r>
          <m:t>v</m:t>
        </m:r>
        <m:r>
          <m:t>i</m:t>
        </m:r>
        <m:r>
          <m:t>t</m:t>
        </m:r>
        <m:r>
          <m:t>i</m:t>
        </m:r>
        <m:r>
          <m:t>e</m:t>
        </m:r>
        <m:r>
          <m:t>s</m:t>
        </m:r>
        <m:r>
          <m:rPr>
            <m:sty m:val="p"/>
          </m:rPr>
          <m:t>)</m:t>
        </m:r>
        <m:r>
          <m:t>a</m:t>
        </m:r>
        <m:r>
          <m:t>n</m:t>
        </m:r>
        <m:r>
          <m:t>d</m:t>
        </m:r>
        <m:r>
          <m:t>a</m:t>
        </m:r>
        <m:r>
          <m:t>o</m:t>
        </m:r>
        <m:r>
          <m:t>n</m:t>
        </m:r>
        <m:r>
          <m:t>e</m:t>
        </m:r>
        <m:r>
          <m:rPr>
            <m:sty m:val="p"/>
          </m:rPr>
          <m:t>−</m:t>
        </m:r>
        <m:r>
          <m:t>y</m:t>
        </m:r>
        <m:r>
          <m:t>e</m:t>
        </m:r>
        <m:r>
          <m:t>a</m:t>
        </m:r>
        <m:r>
          <m:t>r</m:t>
        </m:r>
        <m:r>
          <m:t>e</m:t>
        </m:r>
        <m:r>
          <m:t>x</m:t>
        </m:r>
        <m:r>
          <m:t>t</m:t>
        </m:r>
        <m:r>
          <m:t>e</m:t>
        </m:r>
        <m:r>
          <m:t>n</m:t>
        </m:r>
        <m:r>
          <m:t>s</m:t>
        </m:r>
        <m:r>
          <m:t>i</m:t>
        </m:r>
        <m:r>
          <m:t>o</m:t>
        </m:r>
        <m:r>
          <m:t>n</m:t>
        </m:r>
        <m:r>
          <m:t>o</m:t>
        </m:r>
        <m:r>
          <m:t>f</m:t>
        </m:r>
        <m:r>
          <m:t>C</m:t>
        </m:r>
        <m:r>
          <m:t>b</m:t>
        </m:r>
        <m:r>
          <m:t>o</m:t>
        </m:r>
        <m:r>
          <m:t>e</m:t>
        </m:r>
        <m:r>
          <m:t>C</m:t>
        </m:r>
        <m:r>
          <m:t>l</m:t>
        </m:r>
        <m:r>
          <m:t>e</m:t>
        </m:r>
        <m:r>
          <m:t>a</m:t>
        </m:r>
        <m:r>
          <m:t>r</m:t>
        </m:r>
        <m:r>
          <m:t>E</m:t>
        </m:r>
        <m:r>
          <m:t>u</m:t>
        </m:r>
        <m:r>
          <m:t>r</m:t>
        </m:r>
        <m:r>
          <m:t>o</m:t>
        </m:r>
        <m:r>
          <m:t>p</m:t>
        </m:r>
        <m:sSup>
          <m:e>
            <m:r>
              <m:t>e</m:t>
            </m:r>
          </m:e>
          <m:sup>
            <m:r>
              <m:rPr>
                <m:sty m:val="p"/>
              </m:rPr>
              <m:t>′</m:t>
            </m:r>
          </m:sup>
        </m:sSup>
        <m:r>
          <m:t>s</m:t>
        </m:r>
        <m:r>
          <m:rPr>
            <m:sty m:val="p"/>
          </m:rPr>
          <m:t>€</m:t>
        </m:r>
        <m:r>
          <m:t>1.7</m:t>
        </m:r>
        <m:r>
          <m:t>B</m:t>
        </m:r>
        <m:r>
          <m:t>f</m:t>
        </m:r>
        <m:r>
          <m:t>a</m:t>
        </m:r>
        <m:r>
          <m:t>c</m:t>
        </m:r>
        <m:r>
          <m:t>i</m:t>
        </m:r>
        <m:r>
          <m:t>l</m:t>
        </m:r>
        <m:r>
          <m:t>i</m:t>
        </m:r>
        <m:r>
          <m:t>t</m:t>
        </m:r>
        <m:r>
          <m:t>y</m:t>
        </m:r>
        <m:r>
          <m:rPr>
            <m:sty m:val="p"/>
          </m:rPr>
          <m:t>—</m:t>
        </m:r>
        <m:r>
          <m:t>h</m:t>
        </m:r>
        <m:r>
          <m:t>o</m:t>
        </m:r>
        <m:r>
          <m:t>u</m:t>
        </m:r>
        <m:r>
          <m:t>s</m:t>
        </m:r>
        <m:r>
          <m:t>e</m:t>
        </m:r>
        <m:r>
          <m:t>k</m:t>
        </m:r>
        <m:r>
          <m:t>e</m:t>
        </m:r>
        <m:r>
          <m:t>e</m:t>
        </m:r>
        <m:r>
          <m:t>p</m:t>
        </m:r>
        <m:r>
          <m:t>i</m:t>
        </m:r>
        <m:r>
          <m:t>n</m:t>
        </m:r>
        <m:r>
          <m:t>g</m:t>
        </m:r>
        <m:r>
          <m:t>t</m:t>
        </m:r>
        <m:r>
          <m:t>h</m:t>
        </m:r>
        <m:r>
          <m:t>a</m:t>
        </m:r>
        <m:r>
          <m:t>t</m:t>
        </m:r>
        <m:r>
          <m:t>s</m:t>
        </m:r>
        <m:r>
          <m:t>u</m:t>
        </m:r>
        <m:r>
          <m:t>p</m:t>
        </m:r>
        <m:r>
          <m:t>p</m:t>
        </m:r>
        <m:r>
          <m:t>o</m:t>
        </m:r>
        <m:r>
          <m:t>r</m:t>
        </m:r>
        <m:r>
          <m:t>t</m:t>
        </m:r>
        <m:r>
          <m:t>s</m:t>
        </m:r>
        <m:r>
          <m:t>t</m:t>
        </m:r>
        <m:r>
          <m:t>h</m:t>
        </m:r>
        <m:r>
          <m:t>e</m:t>
        </m:r>
        <m:r>
          <m:t>c</m:t>
        </m:r>
        <m:r>
          <m:t>l</m:t>
        </m:r>
        <m:r>
          <m:t>e</m:t>
        </m:r>
        <m:r>
          <m:t>a</m:t>
        </m:r>
        <m:r>
          <m:t>r</m:t>
        </m:r>
        <m:r>
          <m:t>i</m:t>
        </m:r>
        <m:r>
          <m:t>n</m:t>
        </m:r>
        <m:r>
          <m:t>g</m:t>
        </m:r>
        <m:r>
          <m:rPr>
            <m:sty m:val="p"/>
          </m:rPr>
          <m:t>−</m:t>
        </m:r>
        <m:r>
          <m:t>e</m:t>
        </m:r>
        <m:r>
          <m:t>x</m:t>
        </m:r>
        <m:r>
          <m:t>p</m:t>
        </m:r>
        <m:r>
          <m:t>a</m:t>
        </m:r>
        <m:r>
          <m:t>n</m:t>
        </m:r>
        <m:r>
          <m:t>s</m:t>
        </m:r>
        <m:r>
          <m:t>i</m:t>
        </m:r>
        <m:r>
          <m:t>o</m:t>
        </m:r>
        <m:r>
          <m:t>n</m:t>
        </m:r>
        <m:r>
          <m:t>s</m:t>
        </m:r>
        <m:r>
          <m:t>t</m:t>
        </m:r>
        <m:r>
          <m:t>r</m:t>
        </m:r>
        <m:r>
          <m:t>a</m:t>
        </m:r>
        <m:r>
          <m:t>t</m:t>
        </m:r>
        <m:r>
          <m:t>e</m:t>
        </m:r>
        <m:r>
          <m:t>g</m:t>
        </m:r>
        <m:r>
          <m:t>y</m:t>
        </m:r>
        <m:r>
          <m:rPr>
            <m:sty m:val="p"/>
          </m:rPr>
          <m:t>.</m:t>
        </m:r>
        <m:r>
          <m:t>N</m:t>
        </m:r>
        <m:r>
          <m:t>o</m:t>
        </m:r>
        <m:r>
          <m:t>t</m:t>
        </m:r>
        <m:r>
          <m:t>e</m:t>
        </m:r>
        <m:r>
          <m:t> </m:t>
        </m:r>
      </m:oMath>
      <w:r>
        <w:t xml:space="preserve">649.5M of debt shifted to current portion at Q1.</w:t>
      </w:r>
    </w:p>
    <w:p>
      <w:r>
        <w:pict>
          <v:rect style="width:0;height:1.5pt" o:hralign="center" o:hrstd="t" o:hr="t"/>
        </w:pict>
      </w:r>
    </w:p>
    <w:bookmarkEnd w:id="17"/>
    <w:bookmarkStart w:id="18" w:name="X24f4fffe0bc065c6bece6180dec7c5c766b7382"/>
    <w:p>
      <w:pPr>
        <w:pStyle w:val="Heading2"/>
      </w:pPr>
      <w:r>
        <w:t xml:space="preserve">8. Stock setup into the print</w:t>
      </w:r>
    </w:p>
    <w:p>
      <w:pPr>
        <w:pStyle w:val="Compact"/>
        <w:numPr>
          <w:ilvl w:val="0"/>
          <w:numId w:val="1007"/>
        </w:numPr>
      </w:pPr>
      <w:r>
        <w:rPr>
          <w:b/>
          <w:bCs/>
        </w:rPr>
        <w:t xml:space="preserve">YTD ~+19%</w:t>
      </w:r>
      <w:r>
        <w:t xml:space="preserve"> </w:t>
      </w:r>
      <w:r>
        <w:t xml:space="preserve">(≈</w:t>
      </w:r>
      <m:oMath>
        <m:r>
          <m:t>248</m:t>
        </m:r>
        <m:r>
          <m:rPr>
            <m:sty m:val="p"/>
          </m:rPr>
          <m:t>→</m:t>
        </m:r>
        <m:r>
          <m:t> </m:t>
        </m:r>
      </m:oMath>
      <w:r>
        <w:t xml:space="preserve">297), meaningfully</w:t>
      </w:r>
      <w:r>
        <w:t xml:space="preserve"> </w:t>
      </w:r>
      <w:r>
        <w:rPr>
          <w:b/>
          <w:bCs/>
        </w:rPr>
        <w:t xml:space="preserve">outperforming peers</w:t>
      </w:r>
      <w:r>
        <w:t xml:space="preserve"> </w:t>
      </w:r>
      <w:r>
        <w:t xml:space="preserve">(CME, ICE, NDAQ roughly flat-to-down YTD).</w:t>
      </w:r>
    </w:p>
    <w:p>
      <w:pPr>
        <w:pStyle w:val="Compact"/>
        <w:numPr>
          <w:ilvl w:val="0"/>
          <w:numId w:val="1007"/>
        </w:numPr>
      </w:pPr>
      <w:r>
        <w:t xml:space="preserve">A violent round trip: post-Q1 melt-up to a</w:t>
      </w:r>
      <w:r>
        <w:t xml:space="preserve"> </w:t>
      </w:r>
      <w:r>
        <w:rPr>
          <w:b/>
          <w:bCs/>
        </w:rPr>
        <w:t xml:space="preserve">~</w:t>
      </w:r>
      <m:oMath>
        <m:r>
          <m:t>366</m:t>
        </m:r>
        <m:r>
          <m:t>h</m:t>
        </m:r>
        <m:r>
          <m:t>i</m:t>
        </m:r>
        <m:r>
          <m:t>g</m:t>
        </m:r>
        <m:r>
          <m:t>h</m:t>
        </m:r>
        <m:r>
          <m:rPr>
            <m:sty m:val="p"/>
          </m:rPr>
          <m:t>(</m:t>
        </m:r>
        <m:r>
          <m:t>m</m:t>
        </m:r>
        <m:r>
          <m:t>i</m:t>
        </m:r>
        <m:r>
          <m:t>d</m:t>
        </m:r>
        <m:r>
          <m:rPr>
            <m:sty m:val="p"/>
          </m:rPr>
          <m:t>−</m:t>
        </m:r>
        <m:r>
          <m:t>M</m:t>
        </m:r>
        <m:r>
          <m:t>a</m:t>
        </m:r>
        <m:r>
          <m:t>y</m:t>
        </m:r>
        <m:r>
          <m:rPr>
            <m:sty m:val="p"/>
          </m:rPr>
          <m:t>)</m:t>
        </m:r>
        <m:r>
          <m:rPr>
            <m:sty m:val="p"/>
          </m:rPr>
          <m:t>*</m:t>
        </m:r>
        <m:r>
          <m:rPr>
            <m:sty m:val="p"/>
          </m:rPr>
          <m:t>*</m:t>
        </m:r>
        <m:r>
          <m:rPr>
            <m:sty m:val="p"/>
          </m:rPr>
          <m:t>,</m:t>
        </m:r>
        <m:r>
          <m:t>a</m:t>
        </m:r>
        <m:r>
          <m:rPr>
            <m:sty m:val="p"/>
          </m:rPr>
          <m:t>*</m:t>
        </m:r>
        <m:r>
          <m:rPr>
            <m:sty m:val="p"/>
          </m:rPr>
          <m:t>*</m:t>
        </m:r>
        <m:r>
          <m:t> </m:t>
        </m:r>
      </m:oMath>
      <w:r>
        <w:rPr>
          <w:b/>
          <w:bCs/>
        </w:rPr>
        <w:t xml:space="preserve">231 low (late June)</w:t>
      </w:r>
      <w:r>
        <w:t xml:space="preserve"> </w:t>
      </w:r>
      <w:r>
        <w:t xml:space="preserve">in the broad selloff, then a July recovery back near $300–308 before a ~3.5% pullback on July 30 amid market-wide Fed jitters.</w:t>
      </w:r>
    </w:p>
    <w:p>
      <w:pPr>
        <w:pStyle w:val="Compact"/>
        <w:numPr>
          <w:ilvl w:val="0"/>
          <w:numId w:val="1007"/>
        </w:numPr>
      </w:pPr>
      <w:r>
        <w:t xml:space="preserve">The stock ran ~5% into the report over the prior three sessions — so</w:t>
      </w:r>
      <w:r>
        <w:t xml:space="preserve"> </w:t>
      </w:r>
      <w:r>
        <w:rPr>
          <w:b/>
          <w:bCs/>
        </w:rPr>
        <w:t xml:space="preserve">expectations are elevated and positioning is not washed out.</w:t>
      </w:r>
      <w:r>
        <w:t xml:space="preserve"> </w:t>
      </w:r>
      <w:r>
        <w:t xml:space="preserve">With CBOE at a premium valuation to the exchange group, the reaction likely hinges on the</w:t>
      </w:r>
      <w:r>
        <w:t xml:space="preserve"> </w:t>
      </w:r>
      <w:r>
        <w:rPr>
          <w:i/>
          <w:iCs/>
        </w:rPr>
        <w:t xml:space="preserve">guidance raise + dividend</w:t>
      </w:r>
      <w:r>
        <w:t xml:space="preserve"> </w:t>
      </w:r>
      <w:r>
        <w:t xml:space="preserve">combo more than the headline beat.</w:t>
      </w:r>
    </w:p>
    <w:p>
      <w:r>
        <w:pict>
          <v:rect style="width:0;height:1.5pt" o:hralign="center" o:hrstd="t" o:hr="t"/>
        </w:pict>
      </w:r>
    </w:p>
    <w:bookmarkEnd w:id="18"/>
    <w:bookmarkStart w:id="20" w:name="Xbecdc8a4e34aaead2fbadcfaeb546b360001c34"/>
    <w:p>
      <w:pPr>
        <w:pStyle w:val="Heading2"/>
      </w:pPr>
      <w:r>
        <w:t xml:space="preserve">9. Risk checklist</w:t>
      </w:r>
    </w:p>
    <w:p>
      <w:pPr>
        <w:pStyle w:val="Compact"/>
        <w:numPr>
          <w:ilvl w:val="0"/>
          <w:numId w:val="1008"/>
        </w:numPr>
      </w:pPr>
      <w:r>
        <w:rPr>
          <w:b/>
          <w:bCs/>
        </w:rPr>
        <w:t xml:space="preserve">Volatility normalization</w:t>
      </w:r>
      <w:r>
        <w:t xml:space="preserve"> </w:t>
      </w:r>
      <w:r>
        <w:t xml:space="preserve">— Cboe's best quarters need active markets; a sudden calm would pressure the setup.</w:t>
      </w:r>
    </w:p>
    <w:p>
      <w:pPr>
        <w:pStyle w:val="Compact"/>
        <w:numPr>
          <w:ilvl w:val="0"/>
          <w:numId w:val="1008"/>
        </w:numPr>
      </w:pPr>
      <w:r>
        <w:rPr>
          <w:b/>
          <w:bCs/>
        </w:rPr>
        <w:t xml:space="preserve">"One-timers" in Data Vantage</w:t>
      </w:r>
      <w:r>
        <w:t xml:space="preserve"> </w:t>
      </w:r>
      <w:r>
        <w:t xml:space="preserve">not repeating; watch the organic run-rate.</w:t>
      </w:r>
    </w:p>
    <w:p>
      <w:pPr>
        <w:pStyle w:val="Compact"/>
        <w:numPr>
          <w:ilvl w:val="0"/>
          <w:numId w:val="1008"/>
        </w:numPr>
      </w:pPr>
      <w:r>
        <w:rPr>
          <w:b/>
          <w:bCs/>
        </w:rPr>
        <w:t xml:space="preserve">Regulatory outcome on binary/event contracts</w:t>
      </w:r>
      <w:r>
        <w:t xml:space="preserve"> </w:t>
      </w:r>
      <w:r>
        <w:t xml:space="preserve">and any erosion of the SPX moat ahead of 2032.</w:t>
      </w:r>
    </w:p>
    <w:p>
      <w:pPr>
        <w:pStyle w:val="Compact"/>
        <w:numPr>
          <w:ilvl w:val="0"/>
          <w:numId w:val="1008"/>
        </w:numPr>
      </w:pPr>
      <w:r>
        <w:rPr>
          <w:b/>
          <w:bCs/>
        </w:rPr>
        <w:t xml:space="preserve">Execution risk</w:t>
      </w:r>
      <w:r>
        <w:t xml:space="preserve"> </w:t>
      </w:r>
      <w:r>
        <w:t xml:space="preserve">on a ~20% headcount cut + RTO (attrition, morale) while simultaneously investing in new areas.</w:t>
      </w:r>
    </w:p>
    <w:p>
      <w:pPr>
        <w:pStyle w:val="Compact"/>
        <w:numPr>
          <w:ilvl w:val="0"/>
          <w:numId w:val="1008"/>
        </w:numPr>
      </w:pPr>
      <w:r>
        <w:rPr>
          <w:b/>
          <w:bCs/>
        </w:rPr>
        <w:t xml:space="preserve">FX translation</w:t>
      </w:r>
      <w:r>
        <w:t xml:space="preserve"> </w:t>
      </w:r>
      <w:r>
        <w:t xml:space="preserve">on Europe/APAC and FX segments.</w:t>
      </w:r>
    </w:p>
    <w:p>
      <w:pPr>
        <w:pStyle w:val="Compact"/>
        <w:numPr>
          <w:ilvl w:val="0"/>
          <w:numId w:val="1008"/>
        </w:numPr>
      </w:pPr>
      <w:r>
        <w:rPr>
          <w:b/>
          <w:bCs/>
        </w:rPr>
        <w:t xml:space="preserve">Sector M&amp;A backdrop</w:t>
      </w:r>
      <w:r>
        <w:t xml:space="preserve"> </w:t>
      </w:r>
      <w:r>
        <w:t xml:space="preserve">(e.g., ICE/MarketAxess) raising the bar on capital-deployment expectations.</w:t>
      </w:r>
    </w:p>
    <w:p>
      <w:r>
        <w:pict>
          <v:rect style="width:0;height:1.5pt" o:hralign="center" o:hrstd="t" o:hr="t"/>
        </w:pict>
      </w:r>
    </w:p>
    <w:bookmarkStart w:id="19" w:name="bottom-line"/>
    <w:p>
      <w:pPr>
        <w:pStyle w:val="Heading3"/>
      </w:pPr>
      <w:r>
        <w:t xml:space="preserve">Bottom line</w:t>
      </w:r>
    </w:p>
    <w:p>
      <w:pPr>
        <w:pStyle w:val="FirstParagraph"/>
      </w:pPr>
      <w:r>
        <w:t xml:space="preserve">Cboe should report another strong, volatility-fueled quarter with wide margins. But after Q1's rare "raise revenue / cut costs" double, the market is essentially pricing in continued acceleration. The share-price reaction will likely be driven by</w:t>
      </w:r>
      <w:r>
        <w:t xml:space="preserve"> </w:t>
      </w:r>
      <w:r>
        <w:rPr>
          <w:b/>
          <w:bCs/>
        </w:rPr>
        <w:t xml:space="preserve">(1) a second guidance raise, (2) a Q3 dividend increase, (3) tangible progress on realignment savings and the Canada/Australia closings, and (4) any regulatory/competitive news on event contracts and SPX</w:t>
      </w:r>
      <w:r>
        <w:t xml:space="preserve"> </w:t>
      </w:r>
      <w:r>
        <w:t xml:space="preserve">— more than by the headline EPS beat itself.</w:t>
      </w:r>
    </w:p>
    <w:p>
      <w:pPr>
        <w:pStyle w:val="BodyText"/>
      </w:pPr>
      <w:r>
        <w:rPr>
          <w:i/>
          <w:iCs/>
        </w:rPr>
        <w:t xml:space="preserve">Note: Figures above are drawn from Cboe's own filings/transcripts (Q1 2026 and Q2 2025 releases, recent 8-Ks) and market data; I did not have access to sell-side consensus estimates, so YoY comparisons are framed against the year-ago quarter ($587.3M net revenue / $2.46 adjusted EPS) and management's stated guidance rather than Street numbers.</w:t>
      </w:r>
    </w:p>
    <w:bookmarkEnd w:id="19"/>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2026-07-31T00:14:23Z</dcterms:created>
  <dcterms:modified xsi:type="dcterms:W3CDTF">2026-07-31T00:14:23Z</dcterms:modified>
</cp:coreProperties>
</file>

<file path=docProps/custom.xml><?xml version="1.0" encoding="utf-8"?>
<Properties xmlns="http://schemas.openxmlformats.org/officeDocument/2006/custom-properties" xmlns:vt="http://schemas.openxmlformats.org/officeDocument/2006/docPropsVTypes"/>
</file>