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7" w:name="Xb4020a969e4d1f0aa2a4b3b07b5c75cb1eda37a"/>
    <w:p>
      <w:pPr>
        <w:pStyle w:val="Heading1"/>
      </w:pPr>
      <w:r>
        <w:t xml:space="preserve">Cboe Global Markets (CBOE) — Q2 2026 Earnings Preview</w:t>
      </w:r>
    </w:p>
    <w:p>
      <w:pPr>
        <w:pStyle w:val="FirstParagraph"/>
      </w:pPr>
      <w:r>
        <w:rPr>
          <w:b/>
          <w:bCs/>
        </w:rPr>
        <w:t xml:space="preserve">Report Date:</w:t>
      </w:r>
      <w:r>
        <w:t xml:space="preserve"> </w:t>
      </w:r>
      <w:r>
        <w:t xml:space="preserve">Friday, July 31, 2026, before market open |</w:t>
      </w:r>
      <w:r>
        <w:t xml:space="preserve"> </w:t>
      </w:r>
      <w:r>
        <w:rPr>
          <w:b/>
          <w:bCs/>
        </w:rPr>
        <w:t xml:space="preserve">Call:</w:t>
      </w:r>
      <w:r>
        <w:t xml:space="preserve"> </w:t>
      </w:r>
      <w:r>
        <w:t xml:space="preserve">8:30 a.m. ET</w:t>
      </w:r>
      <w:r>
        <w:t xml:space="preserve"> </w:t>
      </w:r>
      <w:r>
        <w:rPr>
          <w:b/>
          <w:bCs/>
        </w:rPr>
        <w:t xml:space="preserve">Last Close (7/30/26):</w:t>
      </w:r>
      <w:r>
        <w:t xml:space="preserve"> </w:t>
      </w:r>
      <w:r>
        <w:t xml:space="preserve">~$296.56 |</w:t>
      </w:r>
      <w:r>
        <w:t xml:space="preserve"> </w:t>
      </w:r>
      <w:r>
        <w:rPr>
          <w:b/>
          <w:bCs/>
        </w:rPr>
        <w:t xml:space="preserve">Q1 2026 Report Card:</w:t>
      </w:r>
      <w:r>
        <w:t xml:space="preserve"> </w:t>
      </w:r>
      <w:r>
        <w:t xml:space="preserve">Beat (5 consecutive quarters of EPS beats)</w:t>
      </w:r>
    </w:p>
    <w:p>
      <w:r>
        <w:pict>
          <v:rect style="width:0;height:1.5pt" o:hralign="center" o:hrstd="t" o:hr="t"/>
        </w:pict>
      </w:r>
    </w:p>
    <w:bookmarkStart w:id="9" w:name="X949bd4f4089bbaccce539b2bd28d75b85935b6a"/>
    <w:p>
      <w:pPr>
        <w:pStyle w:val="Heading2"/>
      </w:pPr>
      <w:r>
        <w:t xml:space="preserve">1. Setup Into the Print</w:t>
      </w:r>
    </w:p>
    <w:p>
      <w:pPr>
        <w:pStyle w:val="FirstParagraph"/>
      </w:pPr>
      <w:r>
        <w:t xml:space="preserve">Cboe reports Q2 2026 results tomorrow morning after one of the more volatile quarters in the exchange group's recent history. The stock rocketed to an all-time high above</w:t>
      </w:r>
      <w:r>
        <w:t xml:space="preserve"> </w:t>
      </w:r>
      <w:r>
        <w:rPr>
          <w:b/>
          <w:bCs/>
        </w:rPr>
        <w:t xml:space="preserve">$366</w:t>
      </w:r>
      <w:r>
        <w:t xml:space="preserve"> </w:t>
      </w:r>
      <w:r>
        <w:t xml:space="preserve">in mid-May before a **~37% drawdown to roughly</w:t>
      </w:r>
      <w:r>
        <w:t xml:space="preserve"> </w:t>
      </w:r>
      <m:oMath>
        <m:r>
          <m:t>231</m:t>
        </m:r>
        <m:r>
          <m:t>b</m:t>
        </m:r>
        <m:r>
          <m:t>y</m:t>
        </m:r>
        <m:r>
          <m:t>J</m:t>
        </m:r>
        <m:r>
          <m:t>u</m:t>
        </m:r>
        <m:r>
          <m:t>n</m:t>
        </m:r>
        <m:r>
          <m:t>e</m:t>
        </m:r>
        <m:r>
          <m:t>29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d</m:t>
        </m:r>
        <m:r>
          <m:t>r</m:t>
        </m:r>
        <m:r>
          <m:t>i</m:t>
        </m:r>
        <m:r>
          <m:t>v</m:t>
        </m:r>
        <m:r>
          <m:t>e</m:t>
        </m:r>
        <m:r>
          <m:t>n</m:t>
        </m:r>
        <m:r>
          <m:t>b</m:t>
        </m:r>
        <m:r>
          <m:t>y</m:t>
        </m:r>
        <m:r>
          <m:t>a</m:t>
        </m:r>
        <m:r>
          <m:t>c</m:t>
        </m:r>
        <m:r>
          <m:t>o</m:t>
        </m:r>
        <m:r>
          <m:t>m</m:t>
        </m:r>
        <m:r>
          <m:t>b</m:t>
        </m:r>
        <m:r>
          <m:t>i</m:t>
        </m:r>
        <m:r>
          <m:t>n</m:t>
        </m:r>
        <m:r>
          <m:t>a</m:t>
        </m:r>
        <m:r>
          <m:t>t</m:t>
        </m:r>
        <m:r>
          <m:t>i</m:t>
        </m:r>
        <m:r>
          <m:t>o</m:t>
        </m:r>
        <m:r>
          <m:t>n</m:t>
        </m:r>
        <m:r>
          <m:t>o</m:t>
        </m:r>
        <m:r>
          <m:t>f</m:t>
        </m:r>
        <m:r>
          <m:rPr>
            <m:sty m:val="p"/>
          </m:rPr>
          <m:t>(</m:t>
        </m:r>
        <m:r>
          <m:t>1</m:t>
        </m:r>
        <m:r>
          <m:rPr>
            <m:sty m:val="p"/>
          </m:rPr>
          <m:t>)</m:t>
        </m:r>
        <m:r>
          <m:t>a</m:t>
        </m:r>
        <m:r>
          <m:t>b</m:t>
        </m:r>
        <m:r>
          <m:t>r</m:t>
        </m:r>
        <m:r>
          <m:t>o</m:t>
        </m:r>
        <m:r>
          <m:t>a</m:t>
        </m:r>
        <m:r>
          <m:t>d</m:t>
        </m:r>
        <m:r>
          <m:t>t</m:t>
        </m:r>
        <m:r>
          <m:t>e</m:t>
        </m:r>
        <m:r>
          <m:t>c</m:t>
        </m:r>
        <m:r>
          <m:t>h</m:t>
        </m:r>
        <m:r>
          <m:rPr>
            <m:sty m:val="p"/>
          </m:rPr>
          <m:t>/</m:t>
        </m:r>
        <m:r>
          <m:t>r</m:t>
        </m:r>
        <m:r>
          <m:t>a</m:t>
        </m:r>
        <m:r>
          <m:t>t</m:t>
        </m:r>
        <m:r>
          <m:t>e</m:t>
        </m:r>
        <m:r>
          <m:t>s</m:t>
        </m:r>
        <m:r>
          <m:rPr>
            <m:sty m:val="p"/>
          </m:rPr>
          <m:t>−</m:t>
        </m:r>
        <m:r>
          <m:t>d</m:t>
        </m:r>
        <m:r>
          <m:t>r</m:t>
        </m:r>
        <m:r>
          <m:t>i</m:t>
        </m:r>
        <m:r>
          <m:t>v</m:t>
        </m:r>
        <m:r>
          <m:t>e</m:t>
        </m:r>
        <m:r>
          <m:t>n</m:t>
        </m:r>
        <m:r>
          <m:t>m</m:t>
        </m:r>
        <m:r>
          <m:t>a</m:t>
        </m:r>
        <m:r>
          <m:t>r</m:t>
        </m:r>
        <m:r>
          <m:t>k</m:t>
        </m:r>
        <m:r>
          <m:t>e</m:t>
        </m:r>
        <m:r>
          <m:t>t</m:t>
        </m:r>
        <m:r>
          <m:t>s</m:t>
        </m:r>
        <m:r>
          <m:t>e</m:t>
        </m:r>
        <m:r>
          <m:t>l</m:t>
        </m:r>
        <m:r>
          <m:t>l</m:t>
        </m:r>
        <m:r>
          <m:t>o</m:t>
        </m:r>
        <m:r>
          <m:t>f</m:t>
        </m:r>
        <m:r>
          <m:t>f</m:t>
        </m:r>
        <m:r>
          <m:rPr>
            <m:sty m:val="p"/>
          </m:rPr>
          <m:t>(</m:t>
        </m:r>
        <m:r>
          <m:t>m</m:t>
        </m:r>
        <m:r>
          <m:t>e</m:t>
        </m:r>
        <m:r>
          <m:t>m</m:t>
        </m:r>
        <m:r>
          <m:t>o</m:t>
        </m:r>
        <m:r>
          <m:t>r</m:t>
        </m:r>
        <m:r>
          <m:t>y</m:t>
        </m:r>
        <m:r>
          <m:rPr>
            <m:sty m:val="p"/>
          </m:rPr>
          <m:t>−</m:t>
        </m:r>
        <m:r>
          <m:t>c</m:t>
        </m:r>
        <m:r>
          <m:t>h</m:t>
        </m:r>
        <m:r>
          <m:t>i</m:t>
        </m:r>
        <m:r>
          <m:t>p</m:t>
        </m:r>
        <m:r>
          <m:t>c</m:t>
        </m:r>
        <m:r>
          <m:t>o</m:t>
        </m:r>
        <m:r>
          <m:t>s</m:t>
        </m:r>
        <m:r>
          <m:t>t</m:t>
        </m:r>
        <m:r>
          <m:t>s</m:t>
        </m:r>
        <m:r>
          <m:t>h</m:t>
        </m:r>
        <m:r>
          <m:t>o</m:t>
        </m:r>
        <m:r>
          <m:t>c</m:t>
        </m:r>
        <m:r>
          <m:t>k</m:t>
        </m:r>
        <m:r>
          <m:rPr>
            <m:sty m:val="p"/>
          </m:rPr>
          <m:t>,</m:t>
        </m:r>
        <m:r>
          <m:t>F</m:t>
        </m:r>
        <m:r>
          <m:t>e</m:t>
        </m:r>
        <m:r>
          <m:t>d</m:t>
        </m:r>
        <m:r>
          <m:t>l</m:t>
        </m:r>
        <m:r>
          <m:t>e</m:t>
        </m:r>
        <m:r>
          <m:t>a</m:t>
        </m:r>
        <m:r>
          <m:t>d</m:t>
        </m:r>
        <m:r>
          <m:t>e</m:t>
        </m:r>
        <m:r>
          <m:t>r</m:t>
        </m:r>
        <m:r>
          <m:t>s</m:t>
        </m:r>
        <m:r>
          <m:t>h</m:t>
        </m:r>
        <m:r>
          <m:t>i</m:t>
        </m:r>
        <m:r>
          <m:t>p</m:t>
        </m:r>
        <m:r>
          <m:t>t</m:t>
        </m:r>
        <m:r>
          <m:t>r</m:t>
        </m:r>
        <m:r>
          <m:t>a</m:t>
        </m:r>
        <m:r>
          <m:t>n</m:t>
        </m:r>
        <m:r>
          <m:t>s</m:t>
        </m:r>
        <m:r>
          <m:t>i</m:t>
        </m:r>
        <m:r>
          <m:t>t</m:t>
        </m:r>
        <m:r>
          <m:t>i</m:t>
        </m:r>
        <m:r>
          <m:t>o</m:t>
        </m:r>
        <m:r>
          <m:t>n</m:t>
        </m:r>
        <m:r>
          <m:t>u</m:t>
        </m:r>
        <m:r>
          <m:t>n</m:t>
        </m:r>
        <m:r>
          <m:t>c</m:t>
        </m:r>
        <m:r>
          <m:t>e</m:t>
        </m:r>
        <m:r>
          <m:t>r</m:t>
        </m:r>
        <m:r>
          <m:t>t</m:t>
        </m:r>
        <m:r>
          <m:t>a</m:t>
        </m:r>
        <m:r>
          <m:t>i</m:t>
        </m:r>
        <m:r>
          <m:t>n</m:t>
        </m:r>
        <m:r>
          <m:t>t</m:t>
        </m:r>
        <m:r>
          <m:t>y</m:t>
        </m:r>
        <m:r>
          <m:rPr>
            <m:sty m:val="p"/>
          </m:rPr>
          <m:t>,</m:t>
        </m:r>
        <m:r>
          <m:t>A</m:t>
        </m:r>
        <m:r>
          <m:t>I</m:t>
        </m:r>
        <m:r>
          <m:rPr>
            <m:sty m:val="p"/>
          </m:rPr>
          <m:t>−</m:t>
        </m:r>
        <m:r>
          <m:t>c</m:t>
        </m:r>
        <m:r>
          <m:t>a</m:t>
        </m:r>
        <m:r>
          <m:t>p</m:t>
        </m:r>
        <m:r>
          <m:t>e</m:t>
        </m:r>
        <m:r>
          <m:t>x</m:t>
        </m:r>
        <m:r>
          <m:t>j</m:t>
        </m:r>
        <m:r>
          <m:t>i</m:t>
        </m:r>
        <m:r>
          <m:t>t</m:t>
        </m:r>
        <m:r>
          <m:t>t</m:t>
        </m:r>
        <m:r>
          <m:t>e</m:t>
        </m:r>
        <m:r>
          <m:t>r</m:t>
        </m:r>
        <m:r>
          <m:t>s</m:t>
        </m:r>
        <m:r>
          <m:t>t</m:t>
        </m:r>
        <m:r>
          <m:t>h</m:t>
        </m:r>
        <m:r>
          <m:t>a</m:t>
        </m:r>
        <m:r>
          <m:t>t</m:t>
        </m:r>
        <m:r>
          <m:t>h</m:t>
        </m:r>
        <m:r>
          <m:t>i</m:t>
        </m:r>
        <m:r>
          <m:t>t</m:t>
        </m:r>
        <m:r>
          <m:t>C</m:t>
        </m:r>
        <m:r>
          <m:t>M</m:t>
        </m:r>
        <m:r>
          <m:t>E</m:t>
        </m:r>
        <m:r>
          <m:rPr>
            <m:sty m:val="p"/>
          </m:rPr>
          <m:t>,</m:t>
        </m:r>
        <m:r>
          <m:t>I</m:t>
        </m:r>
        <m:r>
          <m:t>C</m:t>
        </m:r>
        <m:r>
          <m:t>E</m:t>
        </m:r>
        <m:r>
          <m:t>a</m:t>
        </m:r>
        <m:r>
          <m:t>n</m:t>
        </m:r>
        <m:r>
          <m:t>d</m:t>
        </m:r>
        <m:r>
          <m:t>N</m:t>
        </m:r>
        <m:r>
          <m:t>a</m:t>
        </m:r>
        <m:r>
          <m:t>s</m:t>
        </m:r>
        <m:r>
          <m:t>d</m:t>
        </m:r>
        <m:r>
          <m:t>a</m:t>
        </m:r>
        <m:r>
          <m:t>q</m:t>
        </m:r>
        <m:r>
          <m:t>i</m:t>
        </m:r>
        <m:r>
          <m:t>n</m:t>
        </m:r>
        <m:r>
          <m:t>t</m:t>
        </m:r>
        <m:r>
          <m:t>a</m:t>
        </m:r>
        <m:r>
          <m:t>n</m:t>
        </m:r>
        <m:r>
          <m:t>d</m:t>
        </m:r>
        <m:r>
          <m:t>e</m:t>
        </m:r>
        <m:r>
          <m:t>m</m:t>
        </m:r>
        <m:r>
          <m:rPr>
            <m:sty m:val="p"/>
          </m:rPr>
          <m:t>)</m:t>
        </m:r>
        <m:r>
          <m:t>a</m:t>
        </m:r>
        <m:r>
          <m:t>n</m:t>
        </m:r>
        <m:r>
          <m:t>d</m:t>
        </m:r>
        <m:r>
          <m:rPr>
            <m:sty m:val="p"/>
          </m:rPr>
          <m:t>(</m:t>
        </m:r>
        <m:r>
          <m:t>2</m:t>
        </m:r>
        <m:r>
          <m:rPr>
            <m:sty m:val="p"/>
          </m:rPr>
          <m:t>)</m:t>
        </m:r>
        <m:r>
          <m:t>i</m:t>
        </m:r>
        <m:r>
          <m:t>d</m:t>
        </m:r>
        <m:r>
          <m:t>i</m:t>
        </m:r>
        <m:r>
          <m:t>o</m:t>
        </m:r>
        <m:r>
          <m:t>s</m:t>
        </m:r>
        <m:r>
          <m:t>y</m:t>
        </m:r>
        <m:r>
          <m:t>n</m:t>
        </m:r>
        <m:r>
          <m:t>c</m:t>
        </m:r>
        <m:r>
          <m:t>r</m:t>
        </m:r>
        <m:r>
          <m:t>a</m:t>
        </m:r>
        <m:r>
          <m:t>t</m:t>
        </m:r>
        <m:r>
          <m:t>i</m:t>
        </m:r>
        <m:r>
          <m:t>c</m:t>
        </m:r>
        <m:r>
          <m:t>f</m:t>
        </m:r>
        <m:r>
          <m:t>e</m:t>
        </m:r>
        <m:r>
          <m:t>a</m:t>
        </m:r>
        <m:r>
          <m:t>r</m:t>
        </m:r>
        <m:r>
          <m:t>s</m:t>
        </m:r>
        <m:r>
          <m:t>t</m:t>
        </m:r>
        <m:r>
          <m:t>h</m:t>
        </m:r>
        <m:r>
          <m:t>a</m:t>
        </m:r>
        <m:r>
          <m:t>t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K</m:t>
        </m:r>
        <m:r>
          <m:t>a</m:t>
        </m:r>
        <m:r>
          <m:t>l</m:t>
        </m:r>
        <m:r>
          <m:t>s</m:t>
        </m:r>
        <m:r>
          <m:t>h</m:t>
        </m:r>
        <m:sSup>
          <m:e>
            <m:r>
              <m:t>i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C</m:t>
        </m:r>
        <m:r>
          <m:t>F</m:t>
        </m:r>
        <m:r>
          <m:t>T</m:t>
        </m:r>
        <m:r>
          <m:t>C</m:t>
        </m:r>
        <m:r>
          <m:rPr>
            <m:sty m:val="p"/>
          </m:rPr>
          <m:t>−</m:t>
        </m:r>
        <m:r>
          <m:t>a</m:t>
        </m:r>
        <m:r>
          <m:t>p</m:t>
        </m:r>
        <m:r>
          <m:t>p</m:t>
        </m:r>
        <m:r>
          <m:t>r</m:t>
        </m:r>
        <m:r>
          <m:t>o</m:t>
        </m:r>
        <m:r>
          <m:t>v</m:t>
        </m:r>
        <m:r>
          <m:t>e</m:t>
        </m:r>
        <m:r>
          <m:t>d</m:t>
        </m:r>
        <m:r>
          <m:t>b</m:t>
        </m:r>
        <m:r>
          <m:t>i</m:t>
        </m:r>
        <m:r>
          <m:t>t</m:t>
        </m:r>
        <m:r>
          <m:t>c</m:t>
        </m:r>
        <m:r>
          <m:t>o</m:t>
        </m:r>
        <m:r>
          <m:t>i</m:t>
        </m:r>
        <m:r>
          <m:t>n</m:t>
        </m:r>
        <m:r>
          <m:t>p</m:t>
        </m:r>
        <m:r>
          <m:t>e</m:t>
        </m:r>
        <m:r>
          <m:t>r</m:t>
        </m:r>
        <m:r>
          <m:t>p</m:t>
        </m:r>
        <m:r>
          <m:t>e</m:t>
        </m:r>
        <m:r>
          <m:t>t</m:t>
        </m:r>
        <m:r>
          <m:t>u</m:t>
        </m:r>
        <m:r>
          <m:t>a</m:t>
        </m:r>
        <m:r>
          <m:t>l</m:t>
        </m:r>
        <m:r>
          <m:t>f</m:t>
        </m:r>
        <m:r>
          <m:t>u</m:t>
        </m:r>
        <m:r>
          <m:t>t</m:t>
        </m:r>
        <m:r>
          <m:t>u</m:t>
        </m:r>
        <m:r>
          <m:t>r</m:t>
        </m:r>
        <m:r>
          <m:t>e</m:t>
        </m:r>
        <m:r>
          <m:t>s</m:t>
        </m:r>
        <m:r>
          <m:t>a</m:t>
        </m:r>
        <m:r>
          <m:t>n</m:t>
        </m:r>
        <m:r>
          <m:t>d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P</m:t>
        </m:r>
        <m:r>
          <m:t>o</m:t>
        </m:r>
        <m:r>
          <m:t>l</m:t>
        </m:r>
        <m:r>
          <m:t>y</m:t>
        </m:r>
        <m:r>
          <m:t>m</m:t>
        </m:r>
        <m:r>
          <m:t>a</m:t>
        </m:r>
        <m:r>
          <m:t>r</m:t>
        </m:r>
        <m:r>
          <m:t>k</m:t>
        </m:r>
        <m:r>
          <m:t>e</m:t>
        </m:r>
        <m:sSup>
          <m:e>
            <m:r>
              <m:t>t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p</m:t>
        </m:r>
        <m:r>
          <m:t>u</m:t>
        </m:r>
        <m:r>
          <m:t>s</m:t>
        </m:r>
        <m:r>
          <m:t>h</m:t>
        </m:r>
        <m:r>
          <m:t>f</m:t>
        </m:r>
        <m:r>
          <m:t>o</m:t>
        </m:r>
        <m:r>
          <m:t>r</m:t>
        </m:r>
        <m:r>
          <m:t>r</m:t>
        </m:r>
        <m:r>
          <m:t>e</m:t>
        </m:r>
        <m:r>
          <m:t>g</m:t>
        </m:r>
        <m:r>
          <m:t>u</m:t>
        </m:r>
        <m:r>
          <m:t>l</m:t>
        </m:r>
        <m:r>
          <m:t>a</m:t>
        </m:r>
        <m:r>
          <m:t>t</m:t>
        </m:r>
        <m:r>
          <m:t>e</m:t>
        </m:r>
        <m:r>
          <m:t>d</m:t>
        </m:r>
        <m:r>
          <m:t>U</m:t>
        </m:r>
        <m:r>
          <m:rPr>
            <m:sty m:val="p"/>
          </m:rPr>
          <m:t>.</m:t>
        </m:r>
        <m:r>
          <m:t>S</m:t>
        </m:r>
        <m:r>
          <m:rPr>
            <m:sty m:val="p"/>
          </m:rPr>
          <m:t>.</m:t>
        </m:r>
        <m:r>
          <m:t>m</m:t>
        </m:r>
        <m:r>
          <m:t>a</m:t>
        </m:r>
        <m:r>
          <m:t>r</m:t>
        </m:r>
        <m:r>
          <m:t>k</m:t>
        </m:r>
        <m:r>
          <m:t>e</m:t>
        </m:r>
        <m:r>
          <m:t>t</m:t>
        </m:r>
        <m:r>
          <m:t>a</m:t>
        </m:r>
        <m:r>
          <m:t>c</m:t>
        </m:r>
        <m:r>
          <m:t>c</m:t>
        </m:r>
        <m:r>
          <m:t>e</m:t>
        </m:r>
        <m:r>
          <m:t>s</m:t>
        </m:r>
        <m:r>
          <m:t>s</m:t>
        </m:r>
        <m:r>
          <m:t>c</m:t>
        </m:r>
        <m:r>
          <m:t>o</m:t>
        </m:r>
        <m:r>
          <m:t>u</m:t>
        </m:r>
        <m:r>
          <m:t>l</m:t>
        </m:r>
        <m:r>
          <m:t>d</m:t>
        </m:r>
        <m:r>
          <m:t>e</m:t>
        </m:r>
        <m:r>
          <m:t>r</m:t>
        </m:r>
        <m:r>
          <m:t>o</m:t>
        </m:r>
        <m:r>
          <m:t>d</m:t>
        </m:r>
        <m:r>
          <m:t>e</m:t>
        </m:r>
        <m:r>
          <m:t>C</m:t>
        </m:r>
        <m:r>
          <m:t>b</m:t>
        </m:r>
        <m:r>
          <m:t>o</m:t>
        </m:r>
        <m:sSup>
          <m:e>
            <m:r>
              <m:t>e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d</m:t>
        </m:r>
        <m:r>
          <m:t>e</m:t>
        </m:r>
        <m:r>
          <m:t>r</m:t>
        </m:r>
        <m:r>
          <m:t>i</m:t>
        </m:r>
        <m:r>
          <m:t>v</m:t>
        </m:r>
        <m:r>
          <m:t>a</m:t>
        </m:r>
        <m:r>
          <m:t>t</m:t>
        </m:r>
        <m:r>
          <m:t>i</m:t>
        </m:r>
        <m:r>
          <m:t>v</m:t>
        </m:r>
        <m:r>
          <m:t>e</m:t>
        </m:r>
        <m:r>
          <m:t>s</m:t>
        </m:r>
        <m:r>
          <m:t>m</m:t>
        </m:r>
        <m:r>
          <m:t>o</m:t>
        </m:r>
        <m:r>
          <m:t>a</m:t>
        </m:r>
        <m:r>
          <m:t>t</m:t>
        </m:r>
        <m:r>
          <m:rPr>
            <m:sty m:val="p"/>
          </m:rPr>
          <m:t>.</m:t>
        </m:r>
        <m:r>
          <m:t>S</m:t>
        </m:r>
        <m:r>
          <m:t>h</m:t>
        </m:r>
        <m:r>
          <m:t>a</m:t>
        </m:r>
        <m:r>
          <m:t>r</m:t>
        </m:r>
        <m:r>
          <m:t>e</m:t>
        </m:r>
        <m:r>
          <m:t>s</m:t>
        </m:r>
        <m:r>
          <m:t>h</m:t>
        </m:r>
        <m:r>
          <m:t>a</m:t>
        </m:r>
        <m:r>
          <m:t>v</m:t>
        </m:r>
        <m:r>
          <m:t>e</m:t>
        </m:r>
        <m:r>
          <m:t>s</m:t>
        </m:r>
        <m:r>
          <m:t>i</m:t>
        </m:r>
        <m:r>
          <m:t>n</m:t>
        </m:r>
        <m:r>
          <m:t>c</m:t>
        </m:r>
        <m:r>
          <m:t>e</m:t>
        </m:r>
        <m:r>
          <m:t>r</m:t>
        </m:r>
        <m:r>
          <m:t>e</m:t>
        </m:r>
        <m:r>
          <m:t>c</m:t>
        </m:r>
        <m:r>
          <m:t>o</m:t>
        </m:r>
        <m:r>
          <m:t>v</m:t>
        </m:r>
        <m:r>
          <m:t>e</m:t>
        </m:r>
        <m:r>
          <m:t>r</m:t>
        </m:r>
        <m:r>
          <m:t>e</m:t>
        </m:r>
        <m:r>
          <m:t>d</m:t>
        </m:r>
        <m:r>
          <m:t>t</m:t>
        </m:r>
        <m:r>
          <m:t>o</m:t>
        </m:r>
        <m:r>
          <m:t>t</m:t>
        </m:r>
        <m:r>
          <m:t>h</m:t>
        </m:r>
        <m:r>
          <m:t>e</m:t>
        </m:r>
        <m:r>
          <m:t>h</m:t>
        </m:r>
        <m:r>
          <m:t>i</m:t>
        </m:r>
        <m:r>
          <m:t>g</m:t>
        </m:r>
        <m:r>
          <m:t>h</m:t>
        </m:r>
        <m:r>
          <m:rPr>
            <m:sty m:val="p"/>
          </m:rPr>
          <m:t>−</m:t>
        </m:r>
      </m:oMath>
      <w:r>
        <w:t xml:space="preserve">200s/near-$300 on record June/Q2 volume prints and the formal launch of Cboe's own prediction-markets suite.</w:t>
      </w:r>
    </w:p>
    <w:p>
      <w:pPr>
        <w:pStyle w:val="BodyText"/>
      </w:pPr>
      <w:r>
        <w:t xml:space="preserve">Analyst estimates going into the print cluster around</w:t>
      </w:r>
      <w:r>
        <w:t xml:space="preserve"> </w:t>
      </w:r>
      <w:r>
        <w:rPr>
          <w:b/>
          <w:bCs/>
        </w:rPr>
        <w:t xml:space="preserve">revenue of ~$708–710 million</w:t>
      </w:r>
      <w:r>
        <w:t xml:space="preserve"> </w:t>
      </w:r>
      <w:r>
        <w:t xml:space="preserve">(consensus per Zacks pegs the figure at $708.5 million, roughly 20.6% above the year-ago quarter) and</w:t>
      </w:r>
      <w:r>
        <w:t xml:space="preserve"> </w:t>
      </w:r>
      <w:r>
        <w:rPr>
          <w:b/>
          <w:bCs/>
        </w:rPr>
        <w:t xml:space="preserve">adjusted EPS in the</w:t>
      </w:r>
      <w:r>
        <w:rPr>
          <w:b/>
          <w:bCs/>
        </w:rPr>
        <w:t xml:space="preserve"> </w:t>
      </w:r>
      <m:oMath>
        <m:r>
          <m:t>3.08</m:t>
        </m:r>
        <m:r>
          <m:rPr>
            <m:sty m:val="p"/>
          </m:rPr>
          <m:t>–</m:t>
        </m:r>
      </m:oMath>
      <w:r>
        <w:rPr>
          <w:b/>
          <w:bCs/>
        </w:rPr>
        <w:t xml:space="preserve">3.45 range</w:t>
      </w:r>
      <w:r>
        <w:t xml:space="preserve">, with several trackers citing ~</w:t>
      </w:r>
      <m:oMath>
        <m:r>
          <m:t>3.41</m:t>
        </m:r>
        <m:r>
          <m:rPr>
            <m:sty m:val="p"/>
          </m:rPr>
          <m:t>–</m:t>
        </m:r>
      </m:oMath>
      <w:r>
        <w:t xml:space="preserve">3.45, up from $2.46 a year ago. Full-year 2026 EPS is modeled around $13.56, up 27% year over year.</w:t>
      </w:r>
    </w:p>
    <w:p>
      <w:pPr>
        <w:pStyle w:val="BodyText"/>
      </w:pPr>
      <w:r>
        <w:t xml:space="preserve">Cboe has beaten consensus EPS in each of the last five quarters (average surprise ~5%), and its own Q2 monthly-volume disclosures have already been unusually strong — a mild positive skew heading into the report.</w:t>
      </w:r>
    </w:p>
    <w:bookmarkEnd w:id="9"/>
    <w:bookmarkStart w:id="10" w:name="Xb4edc0d945ae5add7b6764b8ef1738c47ae43f0"/>
    <w:p>
      <w:pPr>
        <w:pStyle w:val="Heading2"/>
      </w:pPr>
      <w:r>
        <w:t xml:space="preserve">2. Q1 Recap: The Bar Cboe Set for Itself</w:t>
      </w:r>
    </w:p>
    <w:p>
      <w:pPr>
        <w:pStyle w:val="FirstParagraph"/>
      </w:pPr>
      <w:r>
        <w:t xml:space="preserve">Cboe's first quarter was a franchise record on virtually every metric: net revenue grew 29% year-over-year to</w:t>
      </w:r>
      <w:r>
        <w:t xml:space="preserve"> </w:t>
      </w:r>
      <m:oMath>
        <m:r>
          <m:t>728.9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a</m:t>
        </m:r>
        <m:r>
          <m:t>d</m:t>
        </m:r>
        <m:r>
          <m:t>j</m:t>
        </m:r>
        <m:r>
          <m:t>u</m:t>
        </m:r>
        <m:r>
          <m:t>s</m:t>
        </m:r>
        <m:r>
          <m:t>t</m:t>
        </m:r>
        <m:r>
          <m:t>e</m:t>
        </m:r>
        <m:r>
          <m:t>d</m:t>
        </m:r>
        <m:r>
          <m:t>d</m:t>
        </m:r>
        <m:r>
          <m:t>i</m:t>
        </m:r>
        <m:r>
          <m:t>l</m:t>
        </m:r>
        <m:r>
          <m:t>u</m:t>
        </m:r>
        <m:r>
          <m:t>t</m:t>
        </m:r>
        <m:r>
          <m:t>e</m:t>
        </m:r>
        <m:r>
          <m:t>d</m:t>
        </m:r>
        <m:r>
          <m:t>E</m:t>
        </m:r>
        <m:r>
          <m:t>P</m:t>
        </m:r>
        <m:r>
          <m:t>S</m:t>
        </m:r>
        <m:r>
          <m:t>r</m:t>
        </m:r>
        <m:r>
          <m:t>o</m:t>
        </m:r>
        <m:r>
          <m:t>s</m:t>
        </m:r>
        <m:r>
          <m:t>e</m:t>
        </m:r>
        <m:r>
          <m:t>48</m:t>
        </m:r>
      </m:oMath>
      <w:r>
        <w:rPr>
          <w:b/>
          <w:bCs/>
        </w:rPr>
        <w:t xml:space="preserve">3.70</w:t>
      </w:r>
      <w:r>
        <w:t xml:space="preserve">, and adjusted operating EBITDA margin expanded 610bps to</w:t>
      </w:r>
      <w:r>
        <w:t xml:space="preserve"> </w:t>
      </w:r>
      <w:r>
        <w:rPr>
          <w:b/>
          <w:bCs/>
        </w:rPr>
        <w:t xml:space="preserve">74.2%</w:t>
      </w:r>
      <w:r>
        <w:t xml:space="preserve">. Growth was broad-based — Cash &amp; Spot Markets (+34%), Derivatives (+32%), and Data Vantage (+19%) — powered by record SPX index options volume (ADV of 4.9 million contracts, +34% y/y) and record European equities, FX and North American equities activity. Management used the quarter to</w:t>
      </w:r>
      <w:r>
        <w:t xml:space="preserve"> </w:t>
      </w:r>
      <w:r>
        <w:rPr>
          <w:b/>
          <w:bCs/>
        </w:rPr>
        <w:t xml:space="preserve">raise full-year 2026 guidance</w:t>
      </w:r>
      <w:r>
        <w:t xml:space="preserve">: organic total net revenue growth was lifted to "low-double-digit to mid-teens" from "mid-single-digit," Data Vantage organic growth was raised to "low-double-digit," and adjusted operating expense guidance was cut to</w:t>
      </w:r>
      <w:r>
        <w:t xml:space="preserve"> </w:t>
      </w:r>
      <w:r>
        <w:rPr>
          <w:b/>
          <w:bCs/>
        </w:rPr>
        <w:t xml:space="preserve">$838–853 million</w:t>
      </w:r>
      <w:r>
        <w:t xml:space="preserve"> </w:t>
      </w:r>
      <w:r>
        <w:t xml:space="preserve">from $864–879 million.</w:t>
      </w:r>
    </w:p>
    <w:bookmarkEnd w:id="10"/>
    <w:bookmarkStart w:id="11" w:name="X68b9d8fa5b5605a9ef14070bddf1522e5d58429"/>
    <w:p>
      <w:pPr>
        <w:pStyle w:val="Heading2"/>
      </w:pPr>
      <w:r>
        <w:t xml:space="preserve">3. What Should Show Up in Q2 Volumes</w:t>
      </w:r>
    </w:p>
    <w:p>
      <w:pPr>
        <w:pStyle w:val="FirstParagraph"/>
      </w:pPr>
      <w:r>
        <w:t xml:space="preserve">Cboe's own monthly volume disclosures (reported through June, on a one-month lag basis) point to another record quarter: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U.S. options</w:t>
      </w:r>
      <w:r>
        <w:t xml:space="preserve">: record quarterly ADV of</w:t>
      </w:r>
      <w:r>
        <w:t xml:space="preserve"> </w:t>
      </w:r>
      <w:r>
        <w:rPr>
          <w:b/>
          <w:bCs/>
        </w:rPr>
        <w:t xml:space="preserve">21.9 million contracts</w:t>
      </w:r>
      <w:r>
        <w:t xml:space="preserve"> </w:t>
      </w:r>
      <w:r>
        <w:t xml:space="preserve">and monthly ADV of</w:t>
      </w:r>
      <w:r>
        <w:t xml:space="preserve"> </w:t>
      </w:r>
      <w:r>
        <w:rPr>
          <w:b/>
          <w:bCs/>
        </w:rPr>
        <w:t xml:space="preserve">23.0 million</w:t>
      </w:r>
      <w:r>
        <w:t xml:space="preserve"> </w:t>
      </w:r>
      <w:r>
        <w:t xml:space="preserve">in June, with a new all-time single-day total-volume record of</w:t>
      </w:r>
      <w:r>
        <w:t xml:space="preserve"> </w:t>
      </w:r>
      <w:r>
        <w:rPr>
          <w:b/>
          <w:bCs/>
        </w:rPr>
        <w:t xml:space="preserve">33.4 million contracts</w:t>
      </w:r>
      <w:r>
        <w:t xml:space="preserve"> </w:t>
      </w:r>
      <w:r>
        <w:t xml:space="preserve">on June 5.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Proprietary index options</w:t>
      </w:r>
      <w:r>
        <w:t xml:space="preserve">: quarterly ADV record of</w:t>
      </w:r>
      <w:r>
        <w:t xml:space="preserve"> </w:t>
      </w:r>
      <w:r>
        <w:rPr>
          <w:b/>
          <w:bCs/>
        </w:rPr>
        <w:t xml:space="preserve">6.2 million contracts</w:t>
      </w:r>
      <w:r>
        <w:t xml:space="preserve">; SPX quarterly ADV record of</w:t>
      </w:r>
      <w:r>
        <w:t xml:space="preserve"> </w:t>
      </w:r>
      <w:r>
        <w:rPr>
          <w:b/>
          <w:bCs/>
        </w:rPr>
        <w:t xml:space="preserve">5.1 million</w:t>
      </w:r>
      <w:r>
        <w:t xml:space="preserve">; SPX 0DTE quarterly ADV record of</w:t>
      </w:r>
      <w:r>
        <w:t xml:space="preserve"> </w:t>
      </w:r>
      <w:r>
        <w:rPr>
          <w:b/>
          <w:bCs/>
        </w:rPr>
        <w:t xml:space="preserve">3.1 million</w:t>
      </w:r>
      <w:r>
        <w:t xml:space="preserve">; single-day SPX record of 7.8 million contracts (June 5).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Multi-listed options</w:t>
      </w:r>
      <w:r>
        <w:t xml:space="preserve">: record quarterly ADV of</w:t>
      </w:r>
      <w:r>
        <w:t xml:space="preserve"> </w:t>
      </w:r>
      <w:r>
        <w:rPr>
          <w:b/>
          <w:bCs/>
        </w:rPr>
        <w:t xml:space="preserve">15.7 million contracts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Cash/FX/European businesses</w:t>
      </w:r>
      <w:r>
        <w:t xml:space="preserve">: June ADV up double digits year-over-year across European equities (+27%), Global FX (+26%), Canadian equities (+25%) and Australian equities (+23%), alongside continued Cboe Clear Europe growth (cleared trades +31% y/y).</w:t>
      </w:r>
    </w:p>
    <w:p>
      <w:pPr>
        <w:pStyle w:val="FirstParagraph"/>
      </w:pPr>
      <w:r>
        <w:t xml:space="preserve">Importantly, management's own RPC/net-capture guidance for the quarter shows</w:t>
      </w:r>
      <w:r>
        <w:t xml:space="preserve"> </w:t>
      </w:r>
      <w:r>
        <w:rPr>
          <w:b/>
          <w:bCs/>
        </w:rPr>
        <w:t xml:space="preserve">multi-listed options RPC compressing</w:t>
      </w:r>
      <w:r>
        <w:t xml:space="preserve"> </w:t>
      </w:r>
      <w:r>
        <w:t xml:space="preserve">(2Q guide of $0.064 vs. $0.080 in March) even as index options RPC holds near $0.95 — a mix dynamic investors should watch for margin implications, offset by record volume.</w:t>
      </w:r>
    </w:p>
    <w:bookmarkEnd w:id="11"/>
    <w:bookmarkStart w:id="12" w:name="X9c1aa788ba56ae7e569a8dc83f48e6efd3c5fe7"/>
    <w:p>
      <w:pPr>
        <w:pStyle w:val="Heading2"/>
      </w:pPr>
      <w:r>
        <w:t xml:space="preserve">4. The Big Overhang: Prediction Markets and Competitive Risk</w:t>
      </w:r>
    </w:p>
    <w:p>
      <w:pPr>
        <w:pStyle w:val="FirstParagraph"/>
      </w:pPr>
      <w:r>
        <w:t xml:space="preserve">The single largest swing factor in the stock's recent action has been the</w:t>
      </w:r>
      <w:r>
        <w:t xml:space="preserve"> </w:t>
      </w:r>
      <w:r>
        <w:rPr>
          <w:b/>
          <w:bCs/>
        </w:rPr>
        <w:t xml:space="preserve">prediction-markets land grab</w:t>
      </w:r>
      <w:r>
        <w:t xml:space="preserve">. The CFTC's approval of a bitcoin perpetual futures contract for Kalshi in late May, alongside Polymarket's continued push for CFTC/SEC-sanctioned U.S. market access, raised fears that non-traditional platforms could disintermediate exchange incumbents in adjacent derivative products — contributing to a sharp de-rating of CBOE shares even as underlying volumes hit records. Cboe's own derivatives chief has publicly said the company is exploring converting its bitcoin/ether futures to a perpetual structure in response.</w:t>
      </w:r>
    </w:p>
    <w:p>
      <w:pPr>
        <w:pStyle w:val="BodyText"/>
      </w:pPr>
      <w:r>
        <w:t xml:space="preserve">Cboe's counter-offensive has been to lean into the space rather than cede it: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Cboe Predicts</w:t>
      </w:r>
      <w:r>
        <w:t xml:space="preserve"> </w:t>
      </w:r>
      <w:r>
        <w:t xml:space="preserve">launched its first products on June 23 — binary options on the Mini-S&amp;P 500 Index (XSP), listed as XSPBW/XSPBX, initially on Interactive Brokers with</w:t>
      </w:r>
      <w:r>
        <w:t xml:space="preserve"> </w:t>
      </w:r>
      <w:r>
        <w:rPr>
          <w:b/>
          <w:bCs/>
        </w:rPr>
        <w:t xml:space="preserve">Charles Schwab</w:t>
      </w:r>
      <w:r>
        <w:t xml:space="preserve"> </w:t>
      </w:r>
      <w:r>
        <w:t xml:space="preserve">access expected in the coming months and other retail brokers to follow. This is a securities-regulated (SEC/OCC-cleared), spread-based structure explicitly designed to differentiate from futures-style binary contracts on Kalshi/Polymarket.</w:t>
      </w:r>
    </w:p>
    <w:p>
      <w:pPr>
        <w:pStyle w:val="Compact"/>
        <w:numPr>
          <w:ilvl w:val="0"/>
          <w:numId w:val="1002"/>
        </w:numPr>
      </w:pPr>
      <w:r>
        <w:t xml:space="preserve">In early July, Cboe filed with the SEC to list</w:t>
      </w:r>
      <w:r>
        <w:t xml:space="preserve"> </w:t>
      </w:r>
      <w:r>
        <w:rPr>
          <w:b/>
          <w:bCs/>
        </w:rPr>
        <w:t xml:space="preserve">"binary KPI options"</w:t>
      </w:r>
      <w:r>
        <w:t xml:space="preserve"> </w:t>
      </w:r>
      <w:r>
        <w:t xml:space="preserve">— cash-settled, European-style contracts tied to more than 100 disclosed corporate metrics (e.g., iPhone shipments, data-center revenue) across roughly 23 companies, extending its event-contract ambitions well beyond index-linked products.</w:t>
      </w:r>
    </w:p>
    <w:p>
      <w:pPr>
        <w:pStyle w:val="Compact"/>
        <w:numPr>
          <w:ilvl w:val="0"/>
          <w:numId w:val="1002"/>
        </w:numPr>
      </w:pPr>
      <w:r>
        <w:t xml:space="preserve">On the Q1 call, management framed event/prediction markets as a decade-long, potentially "enormous" market opportunity where Cboe's securities/futures/clearing infrastructure and OCC-cleared retail distribution give it a structural edge, while conceding the SPX competitive question (from CFTC-regulated binary S&amp;P 500 products) is an active regulatory conversation.</w:t>
      </w:r>
    </w:p>
    <w:p>
      <w:pPr>
        <w:pStyle w:val="FirstParagraph"/>
      </w:pPr>
      <w:r>
        <w:rPr>
          <w:b/>
          <w:bCs/>
        </w:rPr>
        <w:t xml:space="preserve">Watch for on the call:</w:t>
      </w:r>
      <w:r>
        <w:t xml:space="preserve"> </w:t>
      </w:r>
      <w:r>
        <w:t xml:space="preserve">updated commentary on Cboe Predicts adoption/volume, Schwab rollout timing, ORF fee reform impact on event-contract pricing, and any incremental disclosure on the crypto-perpetuals product decision.</w:t>
      </w:r>
    </w:p>
    <w:bookmarkEnd w:id="12"/>
    <w:bookmarkStart w:id="13" w:name="X855df05bf272a1e86ae5f08819e289116ee7c0a"/>
    <w:p>
      <w:pPr>
        <w:pStyle w:val="Heading2"/>
      </w:pPr>
      <w:r>
        <w:t xml:space="preserve">5. Strategic Realignment — Execution Is the Story</w:t>
      </w:r>
    </w:p>
    <w:p>
      <w:pPr>
        <w:pStyle w:val="FirstParagraph"/>
      </w:pPr>
      <w:r>
        <w:t xml:space="preserve">Cboe is mid-stream in a sweeping cost and portfolio realignment initiated in late 2025: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~20% workforce reduction</w:t>
      </w:r>
      <w:r>
        <w:t xml:space="preserve"> </w:t>
      </w:r>
      <w:r>
        <w:t xml:space="preserve">announced alongside Q1 earnings, on top of earlier decisions to wind down Japanese equities, exit corporate listings, and shutter its European derivatives (CEDX) business.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Sale of Cboe Canada and Cboe Australia to TMX Group</w:t>
      </w:r>
      <w:r>
        <w:t xml:space="preserve"> </w:t>
      </w:r>
      <w:r>
        <w:t xml:space="preserve">for roughly</w:t>
      </w:r>
      <w:r>
        <w:t xml:space="preserve"> </w:t>
      </w:r>
      <w:r>
        <w:rPr>
          <w:b/>
          <w:bCs/>
        </w:rPr>
        <w:t xml:space="preserve">$409 million</w:t>
      </w:r>
      <w:r>
        <w:t xml:space="preserve">, announced April 22, 2026, still pending separate regulatory approvals in each jurisdiction; until closing, both businesses remain consolidated (contributing an estimated $60–70 million of 2026 net revenue and $40–50 million of expense that will exit upon close).</w:t>
      </w:r>
    </w:p>
    <w:p>
      <w:pPr>
        <w:pStyle w:val="Compact"/>
        <w:numPr>
          <w:ilvl w:val="0"/>
          <w:numId w:val="1003"/>
        </w:numPr>
      </w:pPr>
      <w:r>
        <w:t xml:space="preserve">Aggregate annualized expense-saving target now</w:t>
      </w:r>
      <w:r>
        <w:t xml:space="preserve"> </w:t>
      </w:r>
      <w:r>
        <w:rPr>
          <w:b/>
          <w:bCs/>
        </w:rPr>
        <w:t xml:space="preserve">$100–120 million</w:t>
      </w:r>
      <w:r>
        <w:t xml:space="preserve"> </w:t>
      </w:r>
      <w:r>
        <w:t xml:space="preserve">(up from</w:t>
      </w:r>
      <w:r>
        <w:t xml:space="preserve"> </w:t>
      </w:r>
      <m:oMath>
        <m:r>
          <m:t>80</m:t>
        </m:r>
        <m:r>
          <m:rPr>
            <m:sty m:val="p"/>
          </m:rPr>
          <m:t>–</m:t>
        </m:r>
        <m:r>
          <m:t>110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p</m:t>
        </m:r>
        <m:r>
          <m:t>r</m:t>
        </m:r>
        <m:r>
          <m:t>e</m:t>
        </m:r>
        <m:r>
          <m:t>v</m:t>
        </m:r>
        <m:r>
          <m:t>i</m:t>
        </m:r>
        <m:r>
          <m:t>o</m:t>
        </m:r>
        <m:r>
          <m:t>u</m:t>
        </m:r>
        <m:r>
          <m:t>s</m:t>
        </m:r>
        <m:r>
          <m:t>l</m:t>
        </m:r>
        <m:r>
          <m:t>y</m:t>
        </m:r>
        <m:r>
          <m:rPr>
            <m:sty m:val="p"/>
          </m:rPr>
          <m:t>)</m:t>
        </m:r>
        <m:r>
          <m:rPr>
            <m:sty m:val="p"/>
          </m:rPr>
          <m:t>,</m:t>
        </m:r>
        <m:r>
          <m:t>o</m:t>
        </m:r>
        <m:r>
          <m:t>f</m:t>
        </m:r>
        <m:r>
          <m:t>w</m:t>
        </m:r>
        <m:r>
          <m:t>h</m:t>
        </m:r>
        <m:r>
          <m:t>i</m:t>
        </m:r>
        <m:r>
          <m:t>c</m:t>
        </m:r>
        <m:r>
          <m:t>h</m:t>
        </m:r>
        <m:r>
          <m:t>o</m:t>
        </m:r>
        <m:r>
          <m:t>n</m:t>
        </m:r>
        <m:r>
          <m:t>l</m:t>
        </m:r>
        <m:r>
          <m:t>y</m:t>
        </m:r>
        <m:r>
          <m:t> </m:t>
        </m:r>
      </m:oMath>
      <w:r>
        <w:t xml:space="preserve">20–25 million of the newest tranche is baked into 2026 guidance — meaning further savings realization is a 2027 story and a potential upside lever to watch for updates on.</w:t>
      </w:r>
    </w:p>
    <w:p>
      <w:pPr>
        <w:pStyle w:val="Compact"/>
        <w:numPr>
          <w:ilvl w:val="0"/>
          <w:numId w:val="1003"/>
        </w:numPr>
      </w:pPr>
      <w:r>
        <w:t xml:space="preserve">Options market share has been ceding ground even as volumes hit records: total options market share fell to</w:t>
      </w:r>
      <w:r>
        <w:t xml:space="preserve"> </w:t>
      </w:r>
      <w:r>
        <w:rPr>
          <w:b/>
          <w:bCs/>
        </w:rPr>
        <w:t xml:space="preserve">29.1% in Q1 2026 from 31.1%</w:t>
      </w:r>
      <w:r>
        <w:t xml:space="preserve"> </w:t>
      </w:r>
      <w:r>
        <w:t xml:space="preserve">a year earlier, and multi-listed options share fell to</w:t>
      </w:r>
      <w:r>
        <w:t xml:space="preserve"> </w:t>
      </w:r>
      <w:r>
        <w:rPr>
          <w:b/>
          <w:bCs/>
        </w:rPr>
        <w:t xml:space="preserve">22.3% from 25.0%</w:t>
      </w:r>
      <w:r>
        <w:t xml:space="preserve"> </w:t>
      </w:r>
      <w:r>
        <w:t xml:space="preserve">— a trend worth monitoring for signs of stabilization or further erosion in Q2's release.</w:t>
      </w:r>
    </w:p>
    <w:bookmarkEnd w:id="13"/>
    <w:bookmarkStart w:id="14" w:name="X41784220b0d4e89f9e4bf417b2e166a9c6058a7"/>
    <w:p>
      <w:pPr>
        <w:pStyle w:val="Heading2"/>
      </w:pPr>
      <w:r>
        <w:t xml:space="preserve">6. Balance Sheet and Capital Returns</w:t>
      </w:r>
    </w:p>
    <w:p>
      <w:pPr>
        <w:pStyle w:val="FirstParagraph"/>
      </w:pPr>
      <w:r>
        <w:t xml:space="preserve">Cboe entered the quarter with</w:t>
      </w:r>
      <w:r>
        <w:t xml:space="preserve"> </w:t>
      </w:r>
      <m:oMath>
        <m:r>
          <m:t>2.1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o</m:t>
        </m:r>
        <m:r>
          <m:t>f</m:t>
        </m:r>
        <m:r>
          <m:t>c</m:t>
        </m:r>
        <m:r>
          <m:t>a</m:t>
        </m:r>
        <m:r>
          <m:t>s</m:t>
        </m:r>
        <m:r>
          <m:t>h</m:t>
        </m:r>
        <m:r>
          <m:rPr>
            <m:sty m:val="p"/>
          </m:rPr>
          <m:t>/</m:t>
        </m:r>
        <m:r>
          <m:t>a</m:t>
        </m:r>
        <m:r>
          <m:t>d</m:t>
        </m:r>
        <m:r>
          <m:t>j</m:t>
        </m:r>
        <m:r>
          <m:t>u</m:t>
        </m:r>
        <m:r>
          <m:t>s</m:t>
        </m:r>
        <m:r>
          <m:t>t</m:t>
        </m:r>
        <m:r>
          <m:t>e</m:t>
        </m:r>
        <m:r>
          <m:t>d</m:t>
        </m:r>
        <m:r>
          <m:t>c</m:t>
        </m:r>
        <m:r>
          <m:t>a</m:t>
        </m:r>
        <m:r>
          <m:t>s</m:t>
        </m:r>
        <m:r>
          <m:t>h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a</m:t>
        </m:r>
        <m:r>
          <m:t>n</m:t>
        </m:r>
        <m:r>
          <m:t>d</m:t>
        </m:r>
        <m:r>
          <m:t>a</m:t>
        </m:r>
        <m:r>
          <m:t>l</m:t>
        </m:r>
        <m:r>
          <m:t>e</m:t>
        </m:r>
        <m:r>
          <m:t>v</m:t>
        </m:r>
        <m:r>
          <m:t>e</m:t>
        </m:r>
        <m:r>
          <m:t>r</m:t>
        </m:r>
        <m:r>
          <m:t>a</m:t>
        </m:r>
        <m:r>
          <m:t>g</m:t>
        </m:r>
        <m:r>
          <m:t>e</m:t>
        </m:r>
        <m:r>
          <m:t>r</m:t>
        </m:r>
        <m:r>
          <m:t>a</m:t>
        </m:r>
        <m:r>
          <m:t>t</m:t>
        </m:r>
        <m:r>
          <m:t>i</m:t>
        </m:r>
        <m:r>
          <m:t>o</m:t>
        </m:r>
        <m:r>
          <m:t>n</m:t>
        </m:r>
        <m:r>
          <m:t>e</m:t>
        </m:r>
        <m:r>
          <m:t>a</m:t>
        </m:r>
        <m:r>
          <m:t>r</m:t>
        </m:r>
        <m:r>
          <m:t>0.8</m:t>
        </m:r>
        <m:r>
          <m:t>x</m:t>
        </m:r>
        <m:r>
          <m:rPr>
            <m:sty m:val="p"/>
          </m:rPr>
          <m:t>,</m:t>
        </m:r>
        <m:r>
          <m:t>a</m:t>
        </m:r>
        <m:r>
          <m:t>n</m:t>
        </m:r>
        <m:r>
          <m:t>d</m:t>
        </m:r>
        <m:r>
          <m:t>i</m:t>
        </m:r>
        <m:r>
          <m:t>t</m:t>
        </m:r>
        <m:r>
          <m:t>h</m:t>
        </m:r>
        <m:r>
          <m:t>a</m:t>
        </m:r>
        <m:r>
          <m:t>s</m:t>
        </m:r>
        <m:r>
          <m:t>c</m:t>
        </m:r>
        <m:r>
          <m:t>o</m:t>
        </m:r>
        <m:r>
          <m:t>n</m:t>
        </m:r>
        <m:r>
          <m:t>t</m:t>
        </m:r>
        <m:r>
          <m:t>i</m:t>
        </m:r>
        <m:r>
          <m:t>n</m:t>
        </m:r>
        <m:r>
          <m:t>u</m:t>
        </m:r>
        <m:r>
          <m:t>e</m:t>
        </m:r>
        <m:r>
          <m:t>d</m:t>
        </m:r>
        <m:r>
          <m:t>t</m:t>
        </m:r>
        <m:r>
          <m:t>o</m:t>
        </m:r>
        <m:r>
          <m:t>r</m:t>
        </m:r>
        <m:r>
          <m:t>e</m:t>
        </m:r>
        <m:r>
          <m:t>i</m:t>
        </m:r>
        <m:r>
          <m:t>n</m:t>
        </m:r>
        <m:r>
          <m:t>f</m:t>
        </m:r>
        <m:r>
          <m:t>o</m:t>
        </m:r>
        <m:r>
          <m:t>r</m:t>
        </m:r>
        <m:r>
          <m:t>c</m:t>
        </m:r>
        <m:r>
          <m:t>e</m:t>
        </m:r>
        <m:r>
          <m:t>l</m:t>
        </m:r>
        <m:r>
          <m:t>i</m:t>
        </m:r>
        <m:r>
          <m:t>q</m:t>
        </m:r>
        <m:r>
          <m:t>u</m:t>
        </m:r>
        <m:r>
          <m:t>i</m:t>
        </m:r>
        <m:r>
          <m:t>d</m:t>
        </m:r>
        <m:r>
          <m:t>i</m:t>
        </m:r>
        <m:r>
          <m:t>t</m:t>
        </m:r>
        <m:r>
          <m:t>y</m:t>
        </m:r>
        <m:r>
          <m:rPr>
            <m:sty m:val="p"/>
          </m:rPr>
          <m:t>:</m:t>
        </m:r>
        <m:r>
          <m:t>a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400 million five-year unsecured revolving credit facility</w:t>
      </w:r>
      <w:r>
        <w:t xml:space="preserve"> </w:t>
      </w:r>
      <w:r>
        <w:t xml:space="preserve">(upsizeable to</w:t>
      </w:r>
      <w:r>
        <w:t xml:space="preserve"> </w:t>
      </w:r>
      <m:oMath>
        <m:r>
          <m:t>600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)</m:t>
        </m:r>
        <m:r>
          <m:t>w</m:t>
        </m:r>
        <m:r>
          <m:t>a</m:t>
        </m:r>
        <m:r>
          <m:t>s</m:t>
        </m:r>
        <m:r>
          <m:t>s</m:t>
        </m:r>
        <m:r>
          <m:t>i</m:t>
        </m:r>
        <m:r>
          <m:t>g</m:t>
        </m:r>
        <m:r>
          <m:t>n</m:t>
        </m:r>
        <m:r>
          <m:t>e</m:t>
        </m:r>
        <m:r>
          <m:t>d</m:t>
        </m:r>
        <m:r>
          <m:t>J</m:t>
        </m:r>
        <m:r>
          <m:t>u</m:t>
        </m:r>
        <m:r>
          <m:t>l</m:t>
        </m:r>
        <m:r>
          <m:t>y</m:t>
        </m:r>
        <m:r>
          <m:t>24</m:t>
        </m:r>
        <m:r>
          <m:t>t</m:t>
        </m:r>
        <m:r>
          <m:t>o</m:t>
        </m:r>
        <m:r>
          <m:t>r</m:t>
        </m:r>
        <m:r>
          <m:t>e</m:t>
        </m:r>
        <m:r>
          <m:t>p</m:t>
        </m:r>
        <m:r>
          <m:t>l</m:t>
        </m:r>
        <m:r>
          <m:t>a</m:t>
        </m:r>
        <m:r>
          <m:t>c</m:t>
        </m:r>
        <m:r>
          <m:t>e</m:t>
        </m:r>
        <m:r>
          <m:t>i</m:t>
        </m:r>
        <m:r>
          <m:t>t</m:t>
        </m:r>
        <m:r>
          <m:t>s</m:t>
        </m:r>
        <m:r>
          <m:t>p</m:t>
        </m:r>
        <m:r>
          <m:t>r</m:t>
        </m:r>
        <m:r>
          <m:t>i</m:t>
        </m:r>
        <m:r>
          <m:t>o</m:t>
        </m:r>
        <m:r>
          <m:t>r</m:t>
        </m:r>
        <m:r>
          <m:t>f</m:t>
        </m:r>
        <m:r>
          <m:t>a</m:t>
        </m:r>
        <m:r>
          <m:t>c</m:t>
        </m:r>
        <m:r>
          <m:t>i</m:t>
        </m:r>
        <m:r>
          <m:t>l</m:t>
        </m:r>
        <m:r>
          <m:t>i</m:t>
        </m:r>
        <m:r>
          <m:t>t</m:t>
        </m:r>
        <m:r>
          <m:t>y</m:t>
        </m:r>
        <m:r>
          <m:rPr>
            <m:sty m:val="p"/>
          </m:rPr>
          <m:t>,</m:t>
        </m:r>
        <m:r>
          <m:t>a</m:t>
        </m:r>
        <m:r>
          <m:t>n</m:t>
        </m:r>
        <m:r>
          <m:t>d</m:t>
        </m:r>
        <m:r>
          <m:t>C</m:t>
        </m:r>
        <m:r>
          <m:t>b</m:t>
        </m:r>
        <m:r>
          <m:t>o</m:t>
        </m:r>
        <m:r>
          <m:t>e</m:t>
        </m:r>
        <m:r>
          <m:t>C</m:t>
        </m:r>
        <m:r>
          <m:t>l</m:t>
        </m:r>
        <m:r>
          <m:t>e</m:t>
        </m:r>
        <m:r>
          <m:t>a</m:t>
        </m:r>
        <m:r>
          <m:t>r</m:t>
        </m:r>
        <m:r>
          <m:t>E</m:t>
        </m:r>
        <m:r>
          <m:t>u</m:t>
        </m:r>
        <m:r>
          <m:t>r</m:t>
        </m:r>
        <m:r>
          <m:t>o</m:t>
        </m:r>
        <m:r>
          <m:t>p</m:t>
        </m:r>
        <m:sSup>
          <m:e>
            <m:r>
              <m:t>e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€</m:t>
        </m:r>
        <m:r>
          <m:t>1.7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c</m:t>
        </m:r>
        <m:r>
          <m:t>r</m:t>
        </m:r>
        <m:r>
          <m:t>e</m:t>
        </m:r>
        <m:r>
          <m:t>d</m:t>
        </m:r>
        <m:r>
          <m:t>i</m:t>
        </m:r>
        <m:r>
          <m:t>t</m:t>
        </m:r>
        <m:r>
          <m:t>f</m:t>
        </m:r>
        <m:r>
          <m:t>a</m:t>
        </m:r>
        <m:r>
          <m:t>c</m:t>
        </m:r>
        <m:r>
          <m:t>i</m:t>
        </m:r>
        <m:r>
          <m:t>l</m:t>
        </m:r>
        <m:r>
          <m:t>i</m:t>
        </m:r>
        <m:r>
          <m:t>t</m:t>
        </m:r>
        <m:r>
          <m:t>y</m:t>
        </m:r>
        <m:r>
          <m:t>w</m:t>
        </m:r>
        <m:r>
          <m:t>a</m:t>
        </m:r>
        <m:r>
          <m:t>s</m:t>
        </m:r>
        <m:r>
          <m:t>e</m:t>
        </m:r>
        <m:r>
          <m:t>x</m:t>
        </m:r>
        <m:r>
          <m:t>t</m:t>
        </m:r>
        <m:r>
          <m:t>e</m:t>
        </m:r>
        <m:r>
          <m:t>n</m:t>
        </m:r>
        <m:r>
          <m:t>d</m:t>
        </m:r>
        <m:r>
          <m:t>e</m:t>
        </m:r>
        <m:r>
          <m:t>d</m:t>
        </m:r>
        <m:r>
          <m:t>b</m:t>
        </m:r>
        <m:r>
          <m:t>y</m:t>
        </m:r>
        <m:r>
          <m:t>a</m:t>
        </m:r>
        <m:r>
          <m:t>y</m:t>
        </m:r>
        <m:r>
          <m:t>e</m:t>
        </m:r>
        <m:r>
          <m:t>a</m:t>
        </m:r>
        <m:r>
          <m:t>r</m:t>
        </m:r>
        <m:r>
          <m:t>i</m:t>
        </m:r>
        <m:r>
          <m:t>n</m:t>
        </m:r>
        <m:r>
          <m:t>l</m:t>
        </m:r>
        <m:r>
          <m:t>a</m:t>
        </m:r>
        <m:r>
          <m:t>t</m:t>
        </m:r>
        <m:r>
          <m:t>e</m:t>
        </m:r>
        <m:r>
          <m:t>J</m:t>
        </m:r>
        <m:r>
          <m:t>u</m:t>
        </m:r>
        <m:r>
          <m:t>n</m:t>
        </m:r>
        <m:r>
          <m:t>e</m:t>
        </m:r>
        <m:r>
          <m:rPr>
            <m:sty m:val="p"/>
          </m:rPr>
          <m:t>.</m:t>
        </m:r>
        <m:r>
          <m:t>T</m:t>
        </m:r>
        <m:r>
          <m:t>h</m:t>
        </m:r>
        <m:r>
          <m:t>e</m:t>
        </m:r>
        <m:r>
          <m:t>c</m:t>
        </m:r>
        <m:r>
          <m:t>o</m:t>
        </m:r>
        <m:r>
          <m:t>m</m:t>
        </m:r>
        <m:r>
          <m:t>p</m:t>
        </m:r>
        <m:r>
          <m:t>a</m:t>
        </m:r>
        <m:r>
          <m:t>n</m:t>
        </m:r>
        <m:r>
          <m:t>y</m:t>
        </m:r>
        <m:r>
          <m:t>r</m:t>
        </m:r>
        <m:r>
          <m:t>e</m:t>
        </m:r>
        <m:r>
          <m:t>s</m:t>
        </m:r>
        <m:r>
          <m:t>u</m:t>
        </m:r>
        <m:r>
          <m:t>m</m:t>
        </m:r>
        <m:r>
          <m:t>e</m:t>
        </m:r>
        <m:r>
          <m:t>d</m:t>
        </m:r>
        <m:r>
          <m:t>o</m:t>
        </m:r>
        <m:r>
          <m:t>p</m:t>
        </m:r>
        <m:r>
          <m:t>p</m:t>
        </m:r>
        <m:r>
          <m:t>o</m:t>
        </m:r>
        <m:r>
          <m:t>r</m:t>
        </m:r>
        <m:r>
          <m:t>t</m:t>
        </m:r>
        <m:r>
          <m:t>u</m:t>
        </m:r>
        <m:r>
          <m:t>n</m:t>
        </m:r>
        <m:r>
          <m:t>i</m:t>
        </m:r>
        <m:r>
          <m:t>s</m:t>
        </m:r>
        <m:r>
          <m:t>t</m:t>
        </m:r>
        <m:r>
          <m:t>i</m:t>
        </m:r>
        <m:r>
          <m:t>c</m:t>
        </m:r>
        <m:r>
          <m:t>b</m:t>
        </m:r>
        <m:r>
          <m:t>u</m:t>
        </m:r>
        <m:r>
          <m:t>y</m:t>
        </m:r>
        <m:r>
          <m:t>b</m:t>
        </m:r>
        <m:r>
          <m:t>a</m:t>
        </m:r>
        <m:r>
          <m:t>c</m:t>
        </m:r>
        <m:r>
          <m:t>k</m:t>
        </m:r>
        <m:r>
          <m:t>s</m:t>
        </m:r>
        <m:r>
          <m:t>i</m:t>
        </m:r>
        <m:r>
          <m:t>n</m:t>
        </m:r>
        <m:r>
          <m:t>Q</m:t>
        </m:r>
        <m:r>
          <m:t>1</m:t>
        </m:r>
        <m:r>
          <m:rPr>
            <m:sty m:val="p"/>
          </m:rPr>
          <m:t>(</m:t>
        </m:r>
      </m:oMath>
      <w:r>
        <w:t xml:space="preserve">45 million) alongside its</w:t>
      </w:r>
      <w:r>
        <w:t xml:space="preserve"> </w:t>
      </w:r>
      <w:r>
        <w:rPr>
          <w:b/>
          <w:bCs/>
        </w:rPr>
        <w:t xml:space="preserve">$0.72/share quarterly dividend</w:t>
      </w:r>
      <w:r>
        <w:t xml:space="preserve">, and management has flagged its customary look at a dividend increase in Q3. With Canada/Australia sale proceeds still to come, capital deployment optionality (buybacks, event-market/tokenization investment, clearing expansion) is a live topic for Q2 commentary.</w:t>
      </w:r>
    </w:p>
    <w:bookmarkEnd w:id="14"/>
    <w:bookmarkStart w:id="15" w:name="X56db27f30fedc60df8acb92d19f1ade8d73f1bc"/>
    <w:p>
      <w:pPr>
        <w:pStyle w:val="Heading2"/>
      </w:pPr>
      <w:r>
        <w:t xml:space="preserve">7. Sell-Side Positioning</w:t>
      </w:r>
    </w:p>
    <w:p>
      <w:pPr>
        <w:pStyle w:val="FirstParagraph"/>
      </w:pPr>
      <w:r>
        <w:t xml:space="preserve">Wall Street sentiment has turned mixed after the spring rally and June selloff: consensus rating sits at roughly</w:t>
      </w:r>
      <w:r>
        <w:t xml:space="preserve"> </w:t>
      </w:r>
      <w:r>
        <w:rPr>
          <w:b/>
          <w:bCs/>
        </w:rPr>
        <w:t xml:space="preserve">"Hold"</w:t>
      </w:r>
      <w:r>
        <w:t xml:space="preserve"> </w:t>
      </w:r>
      <w:r>
        <w:t xml:space="preserve">across ~8–18 covering analysts, with price targets clustering around</w:t>
      </w:r>
      <w:r>
        <w:t xml:space="preserve"> </w:t>
      </w:r>
      <m:oMath>
        <m:r>
          <m:t>305</m:t>
        </m:r>
        <m:r>
          <m:rPr>
            <m:sty m:val="p"/>
          </m:rPr>
          <m:t>–</m:t>
        </m:r>
      </m:oMath>
      <w:r>
        <w:rPr>
          <w:b/>
          <w:bCs/>
        </w:rPr>
        <w:t xml:space="preserve">312</w:t>
      </w:r>
      <w:r>
        <w:t xml:space="preserve"> </w:t>
      </w:r>
      <w:r>
        <w:t xml:space="preserve">on average (Barclays cut its target to $347 from $382 in early July while maintaining Overweight; Erste Group downgraded to Hold in early June citing an expected slowdown in trading-volume growth). The stock trades at a **~21–23x forward P/E**, above the capital-markets industry average, leaving limited room for a growth disappointment even as fundamentals (record volumes, raised guidance, cost discipline) remain solid.</w:t>
      </w:r>
    </w:p>
    <w:bookmarkEnd w:id="15"/>
    <w:bookmarkStart w:id="16" w:name="X8fae03b5cbab3258b5d3f566667eebacbd33b86"/>
    <w:p>
      <w:pPr>
        <w:pStyle w:val="Heading2"/>
      </w:pPr>
      <w:r>
        <w:t xml:space="preserve">8. Key Questions for Management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Guidance cadence</w:t>
      </w:r>
      <w:r>
        <w:t xml:space="preserve"> </w:t>
      </w:r>
      <w:r>
        <w:t xml:space="preserve">— Will 2026 organic revenue growth guidance (low-double-digit to mid-teens) and Data Vantage growth (low-double-digit) be reaffirmed or raised again given the record Q2 volume prints?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Realignment savings</w:t>
      </w:r>
      <w:r>
        <w:t xml:space="preserve"> </w:t>
      </w:r>
      <w:r>
        <w:t xml:space="preserve">— Updated timeline/quantification on the $100–120 million expense program and Canada/Australia close timing.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Prediction markets economics</w:t>
      </w:r>
      <w:r>
        <w:t xml:space="preserve"> </w:t>
      </w:r>
      <w:r>
        <w:t xml:space="preserve">— Early read on Cboe Predicts adoption, Schwab go-live timing, ORF/fee reform impact, and any decision on crypto perpetual futures.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Market share</w:t>
      </w:r>
      <w:r>
        <w:t xml:space="preserve"> </w:t>
      </w:r>
      <w:r>
        <w:t xml:space="preserve">— Whether the slide in options/multi-listed market share stabilized in Q2.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Capital allocation</w:t>
      </w:r>
      <w:r>
        <w:t xml:space="preserve"> </w:t>
      </w:r>
      <w:r>
        <w:t xml:space="preserve">— Use of expected Canada/Australia divestiture proceeds and dividend increase timing.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Macro sensitivity</w:t>
      </w:r>
      <w:r>
        <w:t xml:space="preserve"> </w:t>
      </w:r>
      <w:r>
        <w:t xml:space="preserve">— How management is thinking about volatility-driven volume durability given the sharp June market swings and prospective Fed policy shifts under new Chair Warsh.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/>
          <w:iCs/>
        </w:rPr>
        <w:t xml:space="preserve">This preview is based on Cboe's Q1 2026 earnings materials/call, SEC filings, company press releases (May–July 2026), and third-party market/analyst commentary. It is provided for informational purposes only and is not investment advice.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2026-07-31T00:12:08Z</dcterms:created>
  <dcterms:modified xsi:type="dcterms:W3CDTF">2026-07-31T00:12:08Z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