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oe-earnings-predictions--2026-07-31"/>
    <w:p>
      <w:pPr>
        <w:pStyle w:val="Heading1"/>
      </w:pPr>
      <w:r>
        <w:t xml:space="preserve">CBOE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~$3.63 vs. cons $3.48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~$738 million vs. cons $719 million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expenses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~$203 million vs. cons $208 million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total net-revenue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~16%-18% vs. cons 15%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830</m:t>
              </m:r>
              <m:r>
                <m:rPr>
                  <m:sty m:val="p"/>
                </m:rPr>
                <m:t>−</m:t>
              </m:r>
            </m:oMath>
            <w:r>
              <w:t xml:space="preserve">845 million vs. cons $845.5 million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Vantage organic net-revenue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~11%-13% vs. cons 12%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+5.2% (FOLLOW-THROUGH)</w:t>
            </w:r>
          </w:p>
        </w:tc>
        <w:tc>
          <w:tcPr/>
          <w:p>
            <w:pPr>
              <w:pStyle w:val="Compact"/>
            </w:pPr>
            <w:r>
              <w:t xml:space="preserve">A revenue-led beat plus higher FY2026 growth guidance should lift FY2026-FY2027 EPS estimates by roughly 2%-4% versus pre-report estimates; visible restructuring savings reduce the risk that the initial gain fades.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2026-07-31T00:12:27Z</dcterms:created>
  <dcterms:modified xsi:type="dcterms:W3CDTF">2026-07-31T00:12:27Z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