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032cbe97de866758b8fcc30a7c28bc03b4d238e"/>
    <w:p>
      <w:pPr>
        <w:pStyle w:val="Heading1"/>
      </w:pPr>
      <w:r>
        <w:t xml:space="preserve">Cboe Global Markets 2Q26 Earnings Preview</w:t>
      </w:r>
    </w:p>
    <w:p>
      <w:pPr>
        <w:pStyle w:val="BlockText"/>
      </w:pPr>
      <w:r>
        <w:rPr>
          <w:b/>
          <w:bCs/>
        </w:rPr>
        <w:t xml:space="preserve">Timing note:</w:t>
      </w:r>
      <w:r>
        <w:t xml:space="preserve"> </w:t>
      </w:r>
      <w:r>
        <w:t xml:space="preserve">Cboe is scheduled to report</w:t>
      </w:r>
      <w:r>
        <w:t xml:space="preserve"> </w:t>
      </w:r>
      <w:r>
        <w:rPr>
          <w:b/>
          <w:bCs/>
        </w:rPr>
        <w:t xml:space="preserve">today, Friday, July 31, 2026</w:t>
      </w:r>
      <w:r>
        <w:t xml:space="preserve">, before the market opens—not tomorrow. The conference call begins at</w:t>
      </w:r>
      <w:r>
        <w:t xml:space="preserve"> </w:t>
      </w:r>
      <w:r>
        <w:rPr>
          <w:b/>
          <w:bCs/>
        </w:rPr>
        <w:t xml:space="preserve">8:30 a.m. ET</w:t>
      </w:r>
      <w:r>
        <w:t xml:space="preserve">. (</w:t>
      </w:r>
      <w:hyperlink r:id="rId9">
        <w:r>
          <w:rPr>
            <w:rStyle w:val="Hyperlink"/>
          </w:rPr>
          <w:t xml:space="preserve">ir.cboe.com</w:t>
        </w:r>
      </w:hyperlink>
      <w:r>
        <w:t xml:space="preserve">)</w:t>
      </w:r>
    </w:p>
    <w:bookmarkStart w:id="10" w:name="executive-view"/>
    <w:p>
      <w:pPr>
        <w:pStyle w:val="Heading2"/>
      </w:pPr>
      <w:r>
        <w:t xml:space="preserve">Executive view</w:t>
      </w:r>
    </w:p>
    <w:p>
      <w:pPr>
        <w:pStyle w:val="FirstParagraph"/>
      </w:pPr>
      <w:r>
        <w:t xml:space="preserve">Cboe enters the report with exceptionally strong trading data, especially in its proprietary index-options franchise. The central question is therefore unlikely to be whether volumes were good; it is whether favorable product mix, pricing and cost reductions can convert those volumes into earnings upside—and whether management raises an already ambitious full-year outlook.</w:t>
      </w:r>
    </w:p>
    <w:p>
      <w:pPr>
        <w:pStyle w:val="BodyText"/>
      </w:pPr>
      <w:r>
        <w:t xml:space="preserve">The setup appears</w:t>
      </w:r>
      <w:r>
        <w:t xml:space="preserve"> </w:t>
      </w:r>
      <w:r>
        <w:rPr>
          <w:b/>
          <w:bCs/>
        </w:rPr>
        <w:t xml:space="preserve">constructive for the reported quarter</w:t>
      </w:r>
      <w:r>
        <w:t xml:space="preserve">, but expectations are elevated. Investors will probably care more about:</w:t>
      </w:r>
    </w:p>
    <w:p>
      <w:pPr>
        <w:pStyle w:val="Compact"/>
        <w:numPr>
          <w:ilvl w:val="0"/>
          <w:numId w:val="1001"/>
        </w:numPr>
      </w:pPr>
      <w:r>
        <w:t xml:space="preserve">Revenue per contract and options mix</w:t>
      </w:r>
    </w:p>
    <w:p>
      <w:pPr>
        <w:pStyle w:val="Compact"/>
        <w:numPr>
          <w:ilvl w:val="0"/>
          <w:numId w:val="1001"/>
        </w:numPr>
      </w:pPr>
      <w:r>
        <w:t xml:space="preserve">The pace of restructuring savings</w:t>
      </w:r>
    </w:p>
    <w:p>
      <w:pPr>
        <w:pStyle w:val="Compact"/>
        <w:numPr>
          <w:ilvl w:val="0"/>
          <w:numId w:val="1001"/>
        </w:numPr>
      </w:pPr>
      <w:r>
        <w:t xml:space="preserve">Whether Data Vantage growth remains durable after a one-time-heavy first quarter</w:t>
      </w:r>
    </w:p>
    <w:p>
      <w:pPr>
        <w:pStyle w:val="Compact"/>
        <w:numPr>
          <w:ilvl w:val="0"/>
          <w:numId w:val="1001"/>
        </w:numPr>
      </w:pPr>
      <w:r>
        <w:t xml:space="preserve">Any change to 2026 guidance</w:t>
      </w:r>
    </w:p>
    <w:p>
      <w:pPr>
        <w:pStyle w:val="Compact"/>
        <w:numPr>
          <w:ilvl w:val="0"/>
          <w:numId w:val="1001"/>
        </w:numPr>
      </w:pPr>
      <w:r>
        <w:t xml:space="preserve">Management’s response to new derivatives competition, including perpetual futures</w:t>
      </w:r>
    </w:p>
    <w:bookmarkEnd w:id="10"/>
    <w:bookmarkStart w:id="12" w:name="expectations-and-stock-setup"/>
    <w:p>
      <w:pPr>
        <w:pStyle w:val="Heading2"/>
      </w:pPr>
      <w:r>
        <w:t xml:space="preserve">Expectations and stock setup</w:t>
      </w:r>
    </w:p>
    <w:p>
      <w:pPr>
        <w:pStyle w:val="FirstParagraph"/>
      </w:pPr>
      <w:r>
        <w:t xml:space="preserve">Public estimates center on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Street expectation</w:t>
            </w:r>
          </w:p>
        </w:tc>
        <w:tc>
          <w:tcPr/>
          <w:p>
            <w:pPr>
              <w:pStyle w:val="Compact"/>
              <w:jc w:val="right"/>
            </w:pPr>
            <w:r>
              <w:t xml:space="preserve">2Q25 actual</w:t>
            </w:r>
          </w:p>
        </w:tc>
        <w:tc>
          <w:tcPr/>
          <w:p>
            <w:pPr>
              <w:pStyle w:val="Compact"/>
              <w:jc w:val="right"/>
            </w:pPr>
            <w:r>
              <w:t xml:space="preserve">Implied growth</w:t>
            </w:r>
          </w:p>
        </w:tc>
      </w:tr>
      <w:tr>
        <w:tc>
          <w:tcPr/>
          <w:p>
            <w:pPr>
              <w:pStyle w:val="Compact"/>
            </w:pPr>
            <w:r>
              <w:t xml:space="preserve">Adjusted EPS</w:t>
            </w:r>
          </w:p>
        </w:tc>
        <w:tc>
          <w:tcPr/>
          <w:p>
            <w:pPr>
              <w:pStyle w:val="Compact"/>
              <w:jc w:val="right"/>
            </w:pPr>
            <m:oMath>
              <m:r>
                <m:t>3.46</m:t>
              </m:r>
              <m:r>
                <m:rPr>
                  <m:sty m:val="p"/>
                </m:rPr>
                <m:t>−</m:t>
              </m:r>
            </m:oMath>
            <w:r>
              <w:rPr>
                <w:b/>
                <w:bCs/>
              </w:rPr>
              <w:t xml:space="preserve">3.49</w:t>
            </w:r>
          </w:p>
        </w:tc>
        <w:tc>
          <w:tcPr/>
          <w:p>
            <w:pPr>
              <w:pStyle w:val="Compact"/>
              <w:jc w:val="right"/>
            </w:pPr>
            <w:r>
              <w:t xml:space="preserve">$2.46</w:t>
            </w:r>
          </w:p>
        </w:tc>
        <w:tc>
          <w:tcPr/>
          <w:p>
            <w:pPr>
              <w:pStyle w:val="Compact"/>
              <w:jc w:val="right"/>
            </w:pPr>
            <w:r>
              <w:t xml:space="preserve">Approximately 41%</w:t>
            </w:r>
          </w:p>
        </w:tc>
      </w:tr>
      <w:tr>
        <w:tc>
          <w:tcPr/>
          <w:p>
            <w:pPr>
              <w:pStyle w:val="Compact"/>
            </w:pPr>
            <w:r>
              <w:t xml:space="preserve">Net revenue</w:t>
            </w:r>
          </w:p>
        </w:tc>
        <w:tc>
          <w:tcPr/>
          <w:p>
            <w:pPr>
              <w:pStyle w:val="Compact"/>
              <w:jc w:val="right"/>
            </w:pPr>
            <m:oMath>
              <m:r>
                <m:t>716</m:t>
              </m:r>
              <m:r>
                <m:rPr>
                  <m:sty m:val="p"/>
                </m:rPr>
                <m:t>−</m:t>
              </m:r>
            </m:oMath>
            <w:r>
              <w:rPr>
                <w:b/>
                <w:bCs/>
              </w:rPr>
              <w:t xml:space="preserve">721 million</w:t>
            </w:r>
          </w:p>
        </w:tc>
        <w:tc>
          <w:tcPr/>
          <w:p>
            <w:pPr>
              <w:pStyle w:val="Compact"/>
              <w:jc w:val="right"/>
            </w:pPr>
            <w:r>
              <w:t xml:space="preserve">$587.3 million</w:t>
            </w:r>
          </w:p>
        </w:tc>
        <w:tc>
          <w:tcPr/>
          <w:p>
            <w:pPr>
              <w:pStyle w:val="Compact"/>
              <w:jc w:val="right"/>
            </w:pPr>
            <w:r>
              <w:t xml:space="preserve">Approximately 22%-23%</w:t>
            </w:r>
          </w:p>
        </w:tc>
      </w:tr>
    </w:tbl>
    <w:p>
      <w:pPr>
        <w:pStyle w:val="BodyText"/>
      </w:pPr>
      <w:r>
        <w:t xml:space="preserve">Kiplinger’s calendar, using data from Refinitiv and S&amp;P Global Market Intelligence, lists an EPS estimate of $3.46. Other public aggregators put net revenue near</w:t>
      </w:r>
      <w:r>
        <w:t xml:space="preserve"> </w:t>
      </w:r>
      <m:oMath>
        <m:r>
          <m:t>716</m:t>
        </m:r>
        <m:r>
          <m:rPr>
            <m:sty m:val="p"/>
          </m:rPr>
          <m:t>−</m:t>
        </m:r>
      </m:oMath>
      <w:r>
        <w:t xml:space="preserve">721 million and EPS near</w:t>
      </w:r>
      <w:r>
        <w:t xml:space="preserve"> </w:t>
      </w:r>
      <m:oMath>
        <m:r>
          <m:t>3.48</m:t>
        </m:r>
        <m:r>
          <m:rPr>
            <m:sty m:val="p"/>
          </m:rPr>
          <m:t>−</m:t>
        </m:r>
      </m:oMath>
      <w:r>
        <w:t xml:space="preserve">3.49. (</w:t>
      </w:r>
      <w:hyperlink r:id="rId11">
        <w:r>
          <w:rPr>
            <w:rStyle w:val="Hyperlink"/>
          </w:rPr>
          <w:t xml:space="preserve">kiplinger.com</w:t>
        </w:r>
      </w:hyperlink>
      <w:r>
        <w:t xml:space="preserve">)</w:t>
      </w:r>
    </w:p>
    <w:p>
      <w:pPr>
        <w:pStyle w:val="BodyText"/>
      </w:pPr>
      <w:r>
        <w:t xml:space="preserve">Cboe shares were around</w:t>
      </w:r>
      <w:r>
        <w:t xml:space="preserve"> </w:t>
      </w:r>
      <w:r>
        <w:rPr>
          <w:b/>
          <w:bCs/>
        </w:rPr>
        <w:t xml:space="preserve">$296.50</w:t>
      </w:r>
      <w:r>
        <w:t xml:space="preserve"> </w:t>
      </w:r>
      <w:r>
        <w:t xml:space="preserve">immediately before the report, up roughly 18% from year-end. However, the stock remains about 19% below its May high after a sharp June selloff and subsequent recovery.</w:t>
      </w:r>
    </w:p>
    <w:p>
      <w:pPr>
        <w:pStyle w:val="BodyText"/>
      </w:pPr>
      <w:r>
        <w:t xml:space="preserve">That volatility reflects a conflicted narrative: record operating performance on one side, and questions about emerging competition and the durability of exchange economics on the other.</w:t>
      </w:r>
    </w:p>
    <w:bookmarkEnd w:id="12"/>
    <w:bookmarkStart w:id="15" w:name="X4e2c79c3069bd794ca93e179273a9ca49af3ee7"/>
    <w:p>
      <w:pPr>
        <w:pStyle w:val="Heading2"/>
      </w:pPr>
      <w:r>
        <w:t xml:space="preserve">The quarter’s strongest evidence: record options activity</w:t>
      </w:r>
    </w:p>
    <w:p>
      <w:pPr>
        <w:pStyle w:val="FirstParagraph"/>
      </w:pPr>
      <w:r>
        <w:t xml:space="preserve">Cboe has already disclosed unusually strong second-quarter operating statistics:</w:t>
      </w:r>
    </w:p>
    <w:p>
      <w:pPr>
        <w:pStyle w:val="Compact"/>
        <w:numPr>
          <w:ilvl w:val="0"/>
          <w:numId w:val="1002"/>
        </w:numPr>
      </w:pPr>
      <w:r>
        <w:t xml:space="preserve">Total company options ADV reached a record</w:t>
      </w:r>
      <w:r>
        <w:t xml:space="preserve"> </w:t>
      </w:r>
      <w:r>
        <w:rPr>
          <w:b/>
          <w:bCs/>
        </w:rPr>
        <w:t xml:space="preserve">21.9 million contracts</w:t>
      </w:r>
      <w:r>
        <w:t xml:space="preserve">, approximately 27% above 2Q25.</w:t>
      </w:r>
    </w:p>
    <w:p>
      <w:pPr>
        <w:pStyle w:val="Compact"/>
        <w:numPr>
          <w:ilvl w:val="0"/>
          <w:numId w:val="1002"/>
        </w:numPr>
      </w:pPr>
      <w:r>
        <w:t xml:space="preserve">Multi-listed options ADV reached</w:t>
      </w:r>
      <w:r>
        <w:t xml:space="preserve"> </w:t>
      </w:r>
      <w:r>
        <w:rPr>
          <w:b/>
          <w:bCs/>
        </w:rPr>
        <w:t xml:space="preserve">15.7 million</w:t>
      </w:r>
      <w:r>
        <w:t xml:space="preserve">, up approximately 24%.</w:t>
      </w:r>
    </w:p>
    <w:p>
      <w:pPr>
        <w:pStyle w:val="Compact"/>
        <w:numPr>
          <w:ilvl w:val="0"/>
          <w:numId w:val="1002"/>
        </w:numPr>
      </w:pPr>
      <w:r>
        <w:t xml:space="preserve">Proprietary index-options ADV reached</w:t>
      </w:r>
      <w:r>
        <w:t xml:space="preserve"> </w:t>
      </w:r>
      <w:r>
        <w:rPr>
          <w:b/>
          <w:bCs/>
        </w:rPr>
        <w:t xml:space="preserve">6.2 million</w:t>
      </w:r>
      <w:r>
        <w:t xml:space="preserve">, up approximately 32%.</w:t>
      </w:r>
    </w:p>
    <w:p>
      <w:pPr>
        <w:pStyle w:val="Compact"/>
        <w:numPr>
          <w:ilvl w:val="0"/>
          <w:numId w:val="1002"/>
        </w:numPr>
      </w:pPr>
      <w:r>
        <w:t xml:space="preserve">SPX options ADV set a quarterly record of</w:t>
      </w:r>
      <w:r>
        <w:t xml:space="preserve"> </w:t>
      </w:r>
      <w:r>
        <w:rPr>
          <w:b/>
          <w:bCs/>
        </w:rPr>
        <w:t xml:space="preserve">5.1 million</w:t>
      </w:r>
      <w:r>
        <w:t xml:space="preserve">.</w:t>
      </w:r>
    </w:p>
    <w:p>
      <w:pPr>
        <w:pStyle w:val="Compact"/>
        <w:numPr>
          <w:ilvl w:val="0"/>
          <w:numId w:val="1002"/>
        </w:numPr>
      </w:pPr>
      <w:r>
        <w:t xml:space="preserve">SPX 0DTE ADV reached a record</w:t>
      </w:r>
      <w:r>
        <w:t xml:space="preserve"> </w:t>
      </w:r>
      <w:r>
        <w:rPr>
          <w:b/>
          <w:bCs/>
        </w:rPr>
        <w:t xml:space="preserve">3.1 million</w:t>
      </w:r>
      <w:r>
        <w:t xml:space="preserve">.</w:t>
      </w:r>
    </w:p>
    <w:p>
      <w:pPr>
        <w:pStyle w:val="Compact"/>
        <w:numPr>
          <w:ilvl w:val="0"/>
          <w:numId w:val="1002"/>
        </w:numPr>
      </w:pPr>
      <w:r>
        <w:t xml:space="preserve">Global Trading Hours volume also set a quarterly record. (</w:t>
      </w:r>
      <w:hyperlink r:id="rId13">
        <w:r>
          <w:rPr>
            <w:rStyle w:val="Hyperlink"/>
          </w:rPr>
          <w:t xml:space="preserve">ir.cboe.com</w:t>
        </w:r>
      </w:hyperlink>
      <w:r>
        <w:t xml:space="preserve">)</w:t>
      </w:r>
    </w:p>
    <w:p>
      <w:pPr>
        <w:pStyle w:val="FirstParagraph"/>
      </w:pPr>
      <w:r>
        <w:t xml:space="preserve">June finished particularly strongly: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June operating measure</w:t>
            </w:r>
          </w:p>
        </w:tc>
        <w:tc>
          <w:tcPr/>
          <w:p>
            <w:pPr>
              <w:pStyle w:val="Compact"/>
              <w:jc w:val="right"/>
            </w:pPr>
            <w:r>
              <w:t xml:space="preserve">Year-over-year change</w:t>
            </w:r>
          </w:p>
        </w:tc>
      </w:tr>
      <w:tr>
        <w:tc>
          <w:tcPr/>
          <w:p>
            <w:pPr>
              <w:pStyle w:val="Compact"/>
            </w:pPr>
            <w:r>
              <w:t xml:space="preserve">Multi-listed options ADV</w:t>
            </w:r>
          </w:p>
        </w:tc>
        <w:tc>
          <w:tcPr/>
          <w:p>
            <w:pPr>
              <w:pStyle w:val="Compact"/>
              <w:jc w:val="right"/>
            </w:pPr>
            <w:r>
              <w:rPr>
                <w:b/>
                <w:bCs/>
              </w:rPr>
              <w:t xml:space="preserve">+40.5%</w:t>
            </w:r>
          </w:p>
        </w:tc>
      </w:tr>
      <w:tr>
        <w:tc>
          <w:tcPr/>
          <w:p>
            <w:pPr>
              <w:pStyle w:val="Compact"/>
            </w:pPr>
            <w:r>
              <w:t xml:space="preserve">Index-options ADV</w:t>
            </w:r>
          </w:p>
        </w:tc>
        <w:tc>
          <w:tcPr/>
          <w:p>
            <w:pPr>
              <w:pStyle w:val="Compact"/>
              <w:jc w:val="right"/>
            </w:pPr>
            <w:r>
              <w:rPr>
                <w:b/>
                <w:bCs/>
              </w:rPr>
              <w:t xml:space="preserve">+36.8%</w:t>
            </w:r>
          </w:p>
        </w:tc>
      </w:tr>
      <w:tr>
        <w:tc>
          <w:tcPr/>
          <w:p>
            <w:pPr>
              <w:pStyle w:val="Compact"/>
            </w:pPr>
            <w:r>
              <w:t xml:space="preserve">Futures ADV</w:t>
            </w:r>
          </w:p>
        </w:tc>
        <w:tc>
          <w:tcPr/>
          <w:p>
            <w:pPr>
              <w:pStyle w:val="Compact"/>
              <w:jc w:val="right"/>
            </w:pPr>
            <w:r>
              <w:rPr>
                <w:b/>
                <w:bCs/>
              </w:rPr>
              <w:t xml:space="preserve">+30.5%</w:t>
            </w:r>
          </w:p>
        </w:tc>
      </w:tr>
      <w:tr>
        <w:tc>
          <w:tcPr/>
          <w:p>
            <w:pPr>
              <w:pStyle w:val="Compact"/>
            </w:pPr>
            <w:r>
              <w:t xml:space="preserve">U.S. equities on-exchange volume</w:t>
            </w:r>
          </w:p>
        </w:tc>
        <w:tc>
          <w:tcPr/>
          <w:p>
            <w:pPr>
              <w:pStyle w:val="Compact"/>
              <w:jc w:val="right"/>
            </w:pPr>
            <w:r>
              <w:rPr>
                <w:b/>
                <w:bCs/>
              </w:rPr>
              <w:t xml:space="preserve">+22.8%</w:t>
            </w:r>
          </w:p>
        </w:tc>
      </w:tr>
      <w:tr>
        <w:tc>
          <w:tcPr/>
          <w:p>
            <w:pPr>
              <w:pStyle w:val="Compact"/>
            </w:pPr>
            <w:r>
              <w:t xml:space="preserve">U.S. equities off-exchange volume</w:t>
            </w:r>
          </w:p>
        </w:tc>
        <w:tc>
          <w:tcPr/>
          <w:p>
            <w:pPr>
              <w:pStyle w:val="Compact"/>
              <w:jc w:val="right"/>
            </w:pPr>
            <w:r>
              <w:rPr>
                <w:b/>
                <w:bCs/>
              </w:rPr>
              <w:t xml:space="preserve">+103.2%</w:t>
            </w:r>
          </w:p>
        </w:tc>
      </w:tr>
      <w:tr>
        <w:tc>
          <w:tcPr/>
          <w:p>
            <w:pPr>
              <w:pStyle w:val="Compact"/>
            </w:pPr>
            <w:r>
              <w:t xml:space="preserve">European equities value traded</w:t>
            </w:r>
          </w:p>
        </w:tc>
        <w:tc>
          <w:tcPr/>
          <w:p>
            <w:pPr>
              <w:pStyle w:val="Compact"/>
              <w:jc w:val="right"/>
            </w:pPr>
            <w:r>
              <w:rPr>
                <w:b/>
                <w:bCs/>
              </w:rPr>
              <w:t xml:space="preserve">+26.6%</w:t>
            </w:r>
          </w:p>
        </w:tc>
      </w:tr>
      <w:tr>
        <w:tc>
          <w:tcPr/>
          <w:p>
            <w:pPr>
              <w:pStyle w:val="Compact"/>
            </w:pPr>
            <w:r>
              <w:t xml:space="preserve">Global FX notional value</w:t>
            </w:r>
          </w:p>
        </w:tc>
        <w:tc>
          <w:tcPr/>
          <w:p>
            <w:pPr>
              <w:pStyle w:val="Compact"/>
              <w:jc w:val="right"/>
            </w:pPr>
            <w:r>
              <w:rPr>
                <w:b/>
                <w:bCs/>
              </w:rPr>
              <w:t xml:space="preserve">+25.5%</w:t>
            </w:r>
          </w:p>
        </w:tc>
      </w:tr>
      <w:tr>
        <w:tc>
          <w:tcPr/>
          <w:p>
            <w:pPr>
              <w:pStyle w:val="Compact"/>
            </w:pPr>
            <w:r>
              <w:t xml:space="preserve">Cboe Clear Europe cleared trades</w:t>
            </w:r>
          </w:p>
        </w:tc>
        <w:tc>
          <w:tcPr/>
          <w:p>
            <w:pPr>
              <w:pStyle w:val="Compact"/>
              <w:jc w:val="right"/>
            </w:pPr>
            <w:r>
              <w:rPr>
                <w:b/>
                <w:bCs/>
              </w:rPr>
              <w:t xml:space="preserve">+30.5%</w:t>
            </w:r>
          </w:p>
        </w:tc>
      </w:tr>
    </w:tbl>
    <w:p>
      <w:pPr>
        <w:pStyle w:val="BodyText"/>
      </w:pPr>
      <w:r>
        <w:t xml:space="preserve">These figures suggest broad support rather than reliance on a single market or product. (</w:t>
      </w:r>
      <w:hyperlink r:id="rId13">
        <w:r>
          <w:rPr>
            <w:rStyle w:val="Hyperlink"/>
          </w:rPr>
          <w:t xml:space="preserve">ir.cboe.com</w:t>
        </w:r>
      </w:hyperlink>
      <w:r>
        <w:t xml:space="preserve">)</w:t>
      </w:r>
    </w:p>
    <w:bookmarkStart w:id="14" w:name="Xdffe4a6e25e4e21c35b8433b2049678f882beb6"/>
    <w:p>
      <w:pPr>
        <w:pStyle w:val="Heading3"/>
      </w:pPr>
      <w:r>
        <w:t xml:space="preserve">Why record volume does not automatically mean a large beat</w:t>
      </w:r>
    </w:p>
    <w:p>
      <w:pPr>
        <w:pStyle w:val="FirstParagraph"/>
      </w:pPr>
      <w:r>
        <w:t xml:space="preserve">Cboe projected second-quarter total-options revenue per contract, or RPC, of</w:t>
      </w:r>
      <w:r>
        <w:t xml:space="preserve"> </w:t>
      </w:r>
      <w:r>
        <w:rPr>
          <w:b/>
          <w:bCs/>
        </w:rPr>
        <w:t xml:space="preserve">$0.317</w:t>
      </w:r>
      <w:r>
        <w:t xml:space="preserve">. That is:</w:t>
      </w:r>
    </w:p>
    <w:p>
      <w:pPr>
        <w:pStyle w:val="Compact"/>
        <w:numPr>
          <w:ilvl w:val="0"/>
          <w:numId w:val="1003"/>
        </w:numPr>
      </w:pPr>
      <w:r>
        <w:t xml:space="preserve">Approximately 6% above the $0.300 reported in 2Q25</w:t>
      </w:r>
    </w:p>
    <w:p>
      <w:pPr>
        <w:pStyle w:val="Compact"/>
        <w:numPr>
          <w:ilvl w:val="0"/>
          <w:numId w:val="1003"/>
        </w:numPr>
      </w:pPr>
      <w:r>
        <w:t xml:space="preserve">But below the unusually strong $0.343 reported in 1Q26</w:t>
      </w:r>
    </w:p>
    <w:p>
      <w:pPr>
        <w:pStyle w:val="FirstParagraph"/>
      </w:pPr>
      <w:r>
        <w:t xml:space="preserve">The sequential decline largely reflects multi-listed-options economics and mix: Cboe projected multi-listed RPC of $0.064 versus $0.080 in March, while index-options RPC remained strong at $0.953. (</w:t>
      </w:r>
      <w:hyperlink r:id="rId13">
        <w:r>
          <w:rPr>
            <w:rStyle w:val="Hyperlink"/>
          </w:rPr>
          <w:t xml:space="preserve">ir.cboe.com</w:t>
        </w:r>
      </w:hyperlink>
      <w:r>
        <w:t xml:space="preserve">)</w:t>
      </w:r>
    </w:p>
    <w:p>
      <w:pPr>
        <w:pStyle w:val="BodyText"/>
      </w:pPr>
      <w:r>
        <w:t xml:space="preserve">Using the disclosed 21.9 million quarterly options ADV and projected RPC produces a rough estimate of about</w:t>
      </w:r>
      <w:r>
        <w:t xml:space="preserve"> </w:t>
      </w:r>
      <w:r>
        <w:rPr>
          <w:b/>
          <w:bCs/>
        </w:rPr>
        <w:t xml:space="preserve">$430 million in options net transaction and clearing fees</w:t>
      </w:r>
      <w:r>
        <w:t xml:space="preserve">, versus $321.6 million in 2Q25. This is not a formal forecast—reported volumes, mix and accounting can differ—but it illustrates the magnitude of the operating tailwind.</w:t>
      </w:r>
    </w:p>
    <w:p>
      <w:pPr>
        <w:pStyle w:val="BodyText"/>
      </w:pPr>
      <w:r>
        <w:rPr>
          <w:b/>
          <w:bCs/>
        </w:rPr>
        <w:t xml:space="preserve">Investor takeaway:</w:t>
      </w:r>
      <w:r>
        <w:t xml:space="preserve"> </w:t>
      </w:r>
      <w:r>
        <w:t xml:space="preserve">Index options should remain the principal earnings engine, but the size of any beat will depend heavily on whether final RPC matches or exceeds Cboe’s preliminary projection.</w:t>
      </w:r>
    </w:p>
    <w:bookmarkEnd w:id="14"/>
    <w:bookmarkEnd w:id="15"/>
    <w:bookmarkStart w:id="28" w:name="X94262e8222f0b074becb61c55b8920435172d82"/>
    <w:p>
      <w:pPr>
        <w:pStyle w:val="Heading2"/>
      </w:pPr>
      <w:r>
        <w:t xml:space="preserve">Five issues that should drive the reaction</w:t>
      </w:r>
    </w:p>
    <w:bookmarkStart w:id="17" w:name="X645f6270c19de4ef3e5d589ca861a9abae4663e"/>
    <w:p>
      <w:pPr>
        <w:pStyle w:val="Heading3"/>
      </w:pPr>
      <w:r>
        <w:t xml:space="preserve">1. Options mix and SPX monetization</w:t>
      </w:r>
    </w:p>
    <w:p>
      <w:pPr>
        <w:pStyle w:val="FirstParagraph"/>
      </w:pPr>
      <w:r>
        <w:t xml:space="preserve">The most important reported details will be:</w:t>
      </w:r>
    </w:p>
    <w:p>
      <w:pPr>
        <w:pStyle w:val="Compact"/>
        <w:numPr>
          <w:ilvl w:val="0"/>
          <w:numId w:val="1004"/>
        </w:numPr>
      </w:pPr>
      <w:r>
        <w:t xml:space="preserve">Final index-options RPC</w:t>
      </w:r>
    </w:p>
    <w:p>
      <w:pPr>
        <w:pStyle w:val="Compact"/>
        <w:numPr>
          <w:ilvl w:val="0"/>
          <w:numId w:val="1004"/>
        </w:numPr>
      </w:pPr>
      <w:r>
        <w:t xml:space="preserve">The share of activity coming from SPX and 0DTE products</w:t>
      </w:r>
    </w:p>
    <w:p>
      <w:pPr>
        <w:pStyle w:val="Compact"/>
        <w:numPr>
          <w:ilvl w:val="0"/>
          <w:numId w:val="1004"/>
        </w:numPr>
      </w:pPr>
      <w:r>
        <w:t xml:space="preserve">Multi-listed-options market share</w:t>
      </w:r>
    </w:p>
    <w:p>
      <w:pPr>
        <w:pStyle w:val="Compact"/>
        <w:numPr>
          <w:ilvl w:val="0"/>
          <w:numId w:val="1004"/>
        </w:numPr>
      </w:pPr>
      <w:r>
        <w:t xml:space="preserve">Access, capacity and market-data revenue generated by higher activity</w:t>
      </w:r>
    </w:p>
    <w:p>
      <w:pPr>
        <w:pStyle w:val="Compact"/>
        <w:numPr>
          <w:ilvl w:val="0"/>
          <w:numId w:val="1004"/>
        </w:numPr>
      </w:pPr>
      <w:r>
        <w:t xml:space="preserve">Any evidence that smaller trade sizes or volume discounts are diluting monetization</w:t>
      </w:r>
    </w:p>
    <w:p>
      <w:pPr>
        <w:pStyle w:val="FirstParagraph"/>
      </w:pPr>
      <w:r>
        <w:t xml:space="preserve">SPX is not simply a volume story. It supports transaction fees, market-data sales, connectivity demand and broader participation across Cboe’s ecosystem. In 1Q26, Options represented about 64% of company net revenue, making its monetization the key swing factor for consolidated results. (</w:t>
      </w:r>
      <w:hyperlink r:id="rId16">
        <w:r>
          <w:rPr>
            <w:rStyle w:val="Hyperlink"/>
          </w:rPr>
          <w:t xml:space="preserve">ir.cboe.com</w:t>
        </w:r>
      </w:hyperlink>
      <w:r>
        <w:t xml:space="preserve">)</w:t>
      </w:r>
    </w:p>
    <w:bookmarkEnd w:id="17"/>
    <w:bookmarkStart w:id="18" w:name="X95147ec881120e2689c517e80c14e652552606a"/>
    <w:p>
      <w:pPr>
        <w:pStyle w:val="Heading3"/>
      </w:pPr>
      <w:r>
        <w:t xml:space="preserve">2. Expense savings and margin conversion</w:t>
      </w:r>
    </w:p>
    <w:p>
      <w:pPr>
        <w:pStyle w:val="FirstParagraph"/>
      </w:pPr>
      <w:r>
        <w:t xml:space="preserve">Cboe’s first-quarter results were exceptionally strong:</w:t>
      </w:r>
    </w:p>
    <w:p>
      <w:pPr>
        <w:pStyle w:val="Compact"/>
        <w:numPr>
          <w:ilvl w:val="0"/>
          <w:numId w:val="1005"/>
        </w:numPr>
      </w:pPr>
      <w:r>
        <w:t xml:space="preserve">Net revenue rose 29% to $728.9 million.</w:t>
      </w:r>
    </w:p>
    <w:p>
      <w:pPr>
        <w:pStyle w:val="Compact"/>
        <w:numPr>
          <w:ilvl w:val="0"/>
          <w:numId w:val="1005"/>
        </w:numPr>
      </w:pPr>
      <w:r>
        <w:t xml:space="preserve">Adjusted EPS rose 48% to $3.70.</w:t>
      </w:r>
    </w:p>
    <w:p>
      <w:pPr>
        <w:pStyle w:val="Compact"/>
        <w:numPr>
          <w:ilvl w:val="0"/>
          <w:numId w:val="1005"/>
        </w:numPr>
      </w:pPr>
      <w:r>
        <w:t xml:space="preserve">Adjusted operating expenses increased only 4%.</w:t>
      </w:r>
    </w:p>
    <w:p>
      <w:pPr>
        <w:pStyle w:val="Compact"/>
        <w:numPr>
          <w:ilvl w:val="0"/>
          <w:numId w:val="1005"/>
        </w:numPr>
      </w:pPr>
      <w:r>
        <w:t xml:space="preserve">Adjusted operating EBITDA margin expanded to 74.2%. (</w:t>
      </w:r>
      <w:hyperlink r:id="rId16">
        <w:r>
          <w:rPr>
            <w:rStyle w:val="Hyperlink"/>
          </w:rPr>
          <w:t xml:space="preserve">ir.cboe.com</w:t>
        </w:r>
      </w:hyperlink>
      <w:r>
        <w:t xml:space="preserve">)</w:t>
      </w:r>
    </w:p>
    <w:p>
      <w:pPr>
        <w:pStyle w:val="FirstParagraph"/>
      </w:pPr>
      <w:r>
        <w:t xml:space="preserve">Management also announced a strategic realignment expected to reduce the workforce by approximately 20%. It lowered 2026 adjusted operating-expense guidance to</w:t>
      </w:r>
      <w:r>
        <w:t xml:space="preserve"> </w:t>
      </w:r>
      <m:oMath>
        <m:r>
          <m:t>838</m:t>
        </m:r>
        <m:r>
          <m:rPr>
            <m:sty m:val="p"/>
          </m:rPr>
          <m:t>−</m:t>
        </m:r>
      </m:oMath>
      <w:r>
        <w:rPr>
          <w:b/>
          <w:bCs/>
        </w:rPr>
        <w:t xml:space="preserve">853 million</w:t>
      </w:r>
      <w:r>
        <w:t xml:space="preserve">, including</w:t>
      </w:r>
      <w:r>
        <w:t xml:space="preserve"> </w:t>
      </w:r>
      <m:oMath>
        <m:r>
          <m:t>20</m:t>
        </m:r>
        <m:r>
          <m:rPr>
            <m:sty m:val="p"/>
          </m:rPr>
          <m:t>−</m:t>
        </m:r>
      </m:oMath>
      <w:r>
        <w:t xml:space="preserve">25 million of savings expected this year. Total annualized savings from the broader realignment are expected to reach</w:t>
      </w:r>
      <w:r>
        <w:t xml:space="preserve"> </w:t>
      </w:r>
      <m:oMath>
        <m:r>
          <m:t>100</m:t>
        </m:r>
        <m:r>
          <m:rPr>
            <m:sty m:val="p"/>
          </m:rPr>
          <m:t>−</m:t>
        </m:r>
      </m:oMath>
      <w:r>
        <w:t xml:space="preserve">120 million once fully implemented. (</w:t>
      </w:r>
      <w:hyperlink r:id="rId16">
        <w:r>
          <w:rPr>
            <w:rStyle w:val="Hyperlink"/>
          </w:rPr>
          <w:t xml:space="preserve">ir.cboe.com</w:t>
        </w:r>
      </w:hyperlink>
      <w:r>
        <w:t xml:space="preserve">)</w:t>
      </w:r>
    </w:p>
    <w:p>
      <w:pPr>
        <w:pStyle w:val="BodyText"/>
      </w:pPr>
      <w:r>
        <w:t xml:space="preserve">The market will want evidence that:</w:t>
      </w:r>
    </w:p>
    <w:p>
      <w:pPr>
        <w:pStyle w:val="Compact"/>
        <w:numPr>
          <w:ilvl w:val="0"/>
          <w:numId w:val="1006"/>
        </w:numPr>
      </w:pPr>
      <w:r>
        <w:t xml:space="preserve">Savings began to appear during the second quarter</w:t>
      </w:r>
    </w:p>
    <w:p>
      <w:pPr>
        <w:pStyle w:val="Compact"/>
        <w:numPr>
          <w:ilvl w:val="0"/>
          <w:numId w:val="1006"/>
        </w:numPr>
      </w:pPr>
      <w:r>
        <w:t xml:space="preserve">Restructuring is not impairing sales, technology or product development</w:t>
      </w:r>
    </w:p>
    <w:p>
      <w:pPr>
        <w:pStyle w:val="Compact"/>
        <w:numPr>
          <w:ilvl w:val="0"/>
          <w:numId w:val="1006"/>
        </w:numPr>
      </w:pPr>
      <w:r>
        <w:t xml:space="preserve">Incentive compensation is not absorbing too much of the revenue upside</w:t>
      </w:r>
    </w:p>
    <w:p>
      <w:pPr>
        <w:pStyle w:val="Compact"/>
        <w:numPr>
          <w:ilvl w:val="0"/>
          <w:numId w:val="1006"/>
        </w:numPr>
      </w:pPr>
      <w:r>
        <w:t xml:space="preserve">The company can preserve the first quarter’s margin gains under more normal market conditions</w:t>
      </w:r>
    </w:p>
    <w:p>
      <w:pPr>
        <w:pStyle w:val="FirstParagraph"/>
      </w:pPr>
      <w:r>
        <w:t xml:space="preserve">A clean expense-guidance reduction would probably matter as much as a modest EPS beat.</w:t>
      </w:r>
    </w:p>
    <w:bookmarkEnd w:id="18"/>
    <w:bookmarkStart w:id="19" w:name="X5faf49d16c00d5f2704b26205ee0480b141e557"/>
    <w:p>
      <w:pPr>
        <w:pStyle w:val="Heading3"/>
      </w:pPr>
      <w:r>
        <w:t xml:space="preserve">3. Data Vantage normalization</w:t>
      </w:r>
    </w:p>
    <w:p>
      <w:pPr>
        <w:pStyle w:val="FirstParagraph"/>
      </w:pPr>
      <w:r>
        <w:t xml:space="preserve">Data Vantage grew 19% in the first quarter, but management acknowledged that one-time historical-data sales associated with new products contributed to the outperformance. It raised full-year organic Data Vantage growth guidance to the</w:t>
      </w:r>
      <w:r>
        <w:t xml:space="preserve"> </w:t>
      </w:r>
      <w:r>
        <w:rPr>
          <w:b/>
          <w:bCs/>
        </w:rPr>
        <w:t xml:space="preserve">low-double digits</w:t>
      </w:r>
      <w:r>
        <w:t xml:space="preserve">, while cautioning that 19% should not necessarily be viewed as a new baseline. (</w:t>
      </w:r>
      <w:hyperlink r:id="rId16">
        <w:r>
          <w:rPr>
            <w:rStyle w:val="Hyperlink"/>
          </w:rPr>
          <w:t xml:space="preserve">ir.cboe.com</w:t>
        </w:r>
      </w:hyperlink>
      <w:r>
        <w:t xml:space="preserve">)</w:t>
      </w:r>
    </w:p>
    <w:p>
      <w:pPr>
        <w:pStyle w:val="BodyText"/>
      </w:pPr>
      <w:r>
        <w:t xml:space="preserve">Investors should separate:</w:t>
      </w:r>
    </w:p>
    <w:p>
      <w:pPr>
        <w:pStyle w:val="Compact"/>
        <w:numPr>
          <w:ilvl w:val="0"/>
          <w:numId w:val="1007"/>
        </w:numPr>
      </w:pPr>
      <w:r>
        <w:t xml:space="preserve">Recurring subscription and connectivity revenue</w:t>
      </w:r>
    </w:p>
    <w:p>
      <w:pPr>
        <w:pStyle w:val="Compact"/>
        <w:numPr>
          <w:ilvl w:val="0"/>
          <w:numId w:val="1007"/>
        </w:numPr>
      </w:pPr>
      <w:r>
        <w:t xml:space="preserve">New customer and unit sales</w:t>
      </w:r>
    </w:p>
    <w:p>
      <w:pPr>
        <w:pStyle w:val="Compact"/>
        <w:numPr>
          <w:ilvl w:val="0"/>
          <w:numId w:val="1007"/>
        </w:numPr>
      </w:pPr>
      <w:r>
        <w:t xml:space="preserve">Price increases</w:t>
      </w:r>
    </w:p>
    <w:p>
      <w:pPr>
        <w:pStyle w:val="Compact"/>
        <w:numPr>
          <w:ilvl w:val="0"/>
          <w:numId w:val="1007"/>
        </w:numPr>
      </w:pPr>
      <w:r>
        <w:t xml:space="preserve">One-time historical-data purchases</w:t>
      </w:r>
    </w:p>
    <w:p>
      <w:pPr>
        <w:pStyle w:val="FirstParagraph"/>
      </w:pPr>
      <w:r>
        <w:t xml:space="preserve">A lower second-quarter growth rate would not necessarily be negative if recurring sales remain healthy. A material reduction in full-year guidance would be more concerning.</w:t>
      </w:r>
    </w:p>
    <w:bookmarkEnd w:id="19"/>
    <w:bookmarkStart w:id="21" w:name="X3c8d002b9d8d15c38897858759f4e6d0619bc09"/>
    <w:p>
      <w:pPr>
        <w:pStyle w:val="Heading3"/>
      </w:pPr>
      <w:r>
        <w:t xml:space="preserve">4. Guidance and the Canada/Australia divestitures</w:t>
      </w:r>
    </w:p>
    <w:p>
      <w:pPr>
        <w:pStyle w:val="FirstParagraph"/>
      </w:pPr>
      <w:r>
        <w:t xml:space="preserve">Current 2026 guidance calls for:</w:t>
      </w:r>
    </w:p>
    <w:p>
      <w:pPr>
        <w:pStyle w:val="Compact"/>
        <w:numPr>
          <w:ilvl w:val="0"/>
          <w:numId w:val="1008"/>
        </w:numPr>
      </w:pPr>
      <w:r>
        <w:t xml:space="preserve">Organic total net-revenue growth of</w:t>
      </w:r>
      <w:r>
        <w:t xml:space="preserve"> </w:t>
      </w:r>
      <w:r>
        <w:rPr>
          <w:b/>
          <w:bCs/>
        </w:rPr>
        <w:t xml:space="preserve">low-double digits to mid-teens</w:t>
      </w:r>
    </w:p>
    <w:p>
      <w:pPr>
        <w:pStyle w:val="Compact"/>
        <w:numPr>
          <w:ilvl w:val="0"/>
          <w:numId w:val="1008"/>
        </w:numPr>
      </w:pPr>
      <w:r>
        <w:t xml:space="preserve">Data Vantage organic growth of</w:t>
      </w:r>
      <w:r>
        <w:t xml:space="preserve"> </w:t>
      </w:r>
      <w:r>
        <w:rPr>
          <w:b/>
          <w:bCs/>
        </w:rPr>
        <w:t xml:space="preserve">low-double digits</w:t>
      </w:r>
    </w:p>
    <w:p>
      <w:pPr>
        <w:pStyle w:val="Compact"/>
        <w:numPr>
          <w:ilvl w:val="0"/>
          <w:numId w:val="1008"/>
        </w:numPr>
      </w:pPr>
      <w:r>
        <w:t xml:space="preserve">Adjusted operating expenses of</w:t>
      </w:r>
      <w:r>
        <w:t xml:space="preserve"> </w:t>
      </w:r>
      <m:oMath>
        <m:r>
          <m:t>838</m:t>
        </m:r>
        <m:r>
          <m:rPr>
            <m:sty m:val="p"/>
          </m:rPr>
          <m:t>−</m:t>
        </m:r>
      </m:oMath>
      <w:r>
        <w:rPr>
          <w:b/>
          <w:bCs/>
        </w:rPr>
        <w:t xml:space="preserve">853 million</w:t>
      </w:r>
    </w:p>
    <w:p>
      <w:pPr>
        <w:pStyle w:val="Compact"/>
        <w:numPr>
          <w:ilvl w:val="0"/>
          <w:numId w:val="1008"/>
        </w:numPr>
      </w:pPr>
      <w:r>
        <w:t xml:space="preserve">Adjusted tax rate of</w:t>
      </w:r>
      <w:r>
        <w:t xml:space="preserve"> </w:t>
      </w:r>
      <w:r>
        <w:rPr>
          <w:b/>
          <w:bCs/>
        </w:rPr>
        <w:t xml:space="preserve">27.5%-29.5%</w:t>
      </w:r>
    </w:p>
    <w:p>
      <w:pPr>
        <w:pStyle w:val="Compact"/>
        <w:numPr>
          <w:ilvl w:val="0"/>
          <w:numId w:val="1008"/>
        </w:numPr>
      </w:pPr>
      <w:r>
        <w:t xml:space="preserve">Capital expenditures of</w:t>
      </w:r>
      <w:r>
        <w:t xml:space="preserve"> </w:t>
      </w:r>
      <m:oMath>
        <m:r>
          <m:t>73</m:t>
        </m:r>
        <m:r>
          <m:rPr>
            <m:sty m:val="p"/>
          </m:rPr>
          <m:t>−</m:t>
        </m:r>
      </m:oMath>
      <w:r>
        <w:rPr>
          <w:b/>
          <w:bCs/>
        </w:rPr>
        <w:t xml:space="preserve">83 million</w:t>
      </w:r>
      <w:r>
        <w:t xml:space="preserve"> </w:t>
      </w:r>
      <w:r>
        <w:t xml:space="preserve">(</w:t>
      </w:r>
      <w:hyperlink r:id="rId16">
        <w:r>
          <w:rPr>
            <w:rStyle w:val="Hyperlink"/>
          </w:rPr>
          <w:t xml:space="preserve">ir.cboe.com</w:t>
        </w:r>
      </w:hyperlink>
      <w:r>
        <w:t xml:space="preserve">)</w:t>
      </w:r>
    </w:p>
    <w:p>
      <w:pPr>
        <w:pStyle w:val="FirstParagraph"/>
      </w:pPr>
      <w:r>
        <w:t xml:space="preserve">Cboe agreed to sell its Canadian and Australian exchanges to TMX Group for</w:t>
      </w:r>
      <w:r>
        <w:t xml:space="preserve"> </w:t>
      </w:r>
      <w:r>
        <w:rPr>
          <w:b/>
          <w:bCs/>
        </w:rPr>
        <w:t xml:space="preserve">$300 million</w:t>
      </w:r>
      <w:r>
        <w:t xml:space="preserve">. Until those transactions close, their revenue and expenses remain in Cboe’s results and guidance. (</w:t>
      </w:r>
      <w:hyperlink r:id="rId20">
        <w:r>
          <w:rPr>
            <w:rStyle w:val="Hyperlink"/>
          </w:rPr>
          <w:t xml:space="preserve">ir.cboe.com</w:t>
        </w:r>
      </w:hyperlink>
      <w:r>
        <w:t xml:space="preserve">)</w:t>
      </w:r>
    </w:p>
    <w:p>
      <w:pPr>
        <w:pStyle w:val="BodyText"/>
      </w:pPr>
      <w:r>
        <w:t xml:space="preserve">Investors need clarity on:</w:t>
      </w:r>
    </w:p>
    <w:p>
      <w:pPr>
        <w:pStyle w:val="Compact"/>
        <w:numPr>
          <w:ilvl w:val="0"/>
          <w:numId w:val="1009"/>
        </w:numPr>
      </w:pPr>
      <w:r>
        <w:t xml:space="preserve">Expected closing dates</w:t>
      </w:r>
    </w:p>
    <w:p>
      <w:pPr>
        <w:pStyle w:val="Compact"/>
        <w:numPr>
          <w:ilvl w:val="0"/>
          <w:numId w:val="1009"/>
        </w:numPr>
      </w:pPr>
      <w:r>
        <w:t xml:space="preserve">Regulatory progress</w:t>
      </w:r>
    </w:p>
    <w:p>
      <w:pPr>
        <w:pStyle w:val="Compact"/>
        <w:numPr>
          <w:ilvl w:val="0"/>
          <w:numId w:val="1009"/>
        </w:numPr>
      </w:pPr>
      <w:r>
        <w:t xml:space="preserve">Pro forma revenue and expense guidance after closing</w:t>
      </w:r>
    </w:p>
    <w:p>
      <w:pPr>
        <w:pStyle w:val="Compact"/>
        <w:numPr>
          <w:ilvl w:val="0"/>
          <w:numId w:val="1009"/>
        </w:numPr>
      </w:pPr>
      <w:r>
        <w:t xml:space="preserve">Transition-service costs</w:t>
      </w:r>
    </w:p>
    <w:p>
      <w:pPr>
        <w:pStyle w:val="Compact"/>
        <w:numPr>
          <w:ilvl w:val="0"/>
          <w:numId w:val="1009"/>
        </w:numPr>
      </w:pPr>
      <w:r>
        <w:t xml:space="preserve">Use of proceeds</w:t>
      </w:r>
    </w:p>
    <w:p>
      <w:pPr>
        <w:pStyle w:val="Compact"/>
        <w:numPr>
          <w:ilvl w:val="0"/>
          <w:numId w:val="1009"/>
        </w:numPr>
      </w:pPr>
      <w:r>
        <w:t xml:space="preserve">Whether the remaining company will carry a structurally higher margin</w:t>
      </w:r>
    </w:p>
    <w:p>
      <w:pPr>
        <w:pStyle w:val="FirstParagraph"/>
      </w:pPr>
      <w:r>
        <w:t xml:space="preserve">Given the volume backdrop, a simple guidance reiteration may be received as conservative. An increase in revenue guidance—or another expense reduction—would be the clearest positive signal.</w:t>
      </w:r>
    </w:p>
    <w:bookmarkEnd w:id="21"/>
    <w:bookmarkStart w:id="27" w:name="Xee80a7594f8e274c4362d242801fba2a36f1536"/>
    <w:p>
      <w:pPr>
        <w:pStyle w:val="Heading3"/>
      </w:pPr>
      <w:r>
        <w:t xml:space="preserve">5. Competition and the next growth platforms</w:t>
      </w:r>
    </w:p>
    <w:p>
      <w:pPr>
        <w:pStyle w:val="FirstParagraph"/>
      </w:pPr>
      <w:r>
        <w:t xml:space="preserve">Exchange stocks sold off sharply in early June after regulatory approval of cryptocurrency perpetual futures raised concerns that similar products could eventually compete with traditional listed derivatives. Cboe shares fell about 9% on June 2 during the broader exchange selloff. Analysts cited in the report were skeptical that perps would quickly displace institutionally oriented listed futures, but the episode demonstrated that investors are assigning more weight to competitive disruption. (</w:t>
      </w:r>
      <w:hyperlink r:id="rId22">
        <w:r>
          <w:rPr>
            <w:rStyle w:val="Hyperlink"/>
          </w:rPr>
          <w:t xml:space="preserve">investing.com</w:t>
        </w:r>
      </w:hyperlink>
      <w:r>
        <w:t xml:space="preserve">)</w:t>
      </w:r>
    </w:p>
    <w:p>
      <w:pPr>
        <w:pStyle w:val="BodyText"/>
      </w:pPr>
      <w:r>
        <w:t xml:space="preserve">Management will likely be pressed on both defense and offense:</w:t>
      </w:r>
    </w:p>
    <w:bookmarkStart w:id="23" w:name="defending-the-core"/>
    <w:p>
      <w:pPr>
        <w:pStyle w:val="Heading4"/>
      </w:pPr>
      <w:r>
        <w:t xml:space="preserve">Defending the core</w:t>
      </w:r>
    </w:p>
    <w:p>
      <w:pPr>
        <w:pStyle w:val="Compact"/>
        <w:numPr>
          <w:ilvl w:val="0"/>
          <w:numId w:val="1010"/>
        </w:numPr>
      </w:pPr>
      <w:r>
        <w:t xml:space="preserve">The durability of the SPX ecosystem</w:t>
      </w:r>
    </w:p>
    <w:p>
      <w:pPr>
        <w:pStyle w:val="Compact"/>
        <w:numPr>
          <w:ilvl w:val="0"/>
          <w:numId w:val="1010"/>
        </w:numPr>
      </w:pPr>
      <w:r>
        <w:t xml:space="preserve">Competition for retail options flow</w:t>
      </w:r>
    </w:p>
    <w:p>
      <w:pPr>
        <w:pStyle w:val="Compact"/>
        <w:numPr>
          <w:ilvl w:val="0"/>
          <w:numId w:val="1010"/>
        </w:numPr>
      </w:pPr>
      <w:r>
        <w:t xml:space="preserve">Pricing and market-share discipline</w:t>
      </w:r>
    </w:p>
    <w:p>
      <w:pPr>
        <w:pStyle w:val="Compact"/>
        <w:numPr>
          <w:ilvl w:val="0"/>
          <w:numId w:val="1010"/>
        </w:numPr>
      </w:pPr>
      <w:r>
        <w:t xml:space="preserve">Longer-term protection of index-product economics</w:t>
      </w:r>
    </w:p>
    <w:p>
      <w:pPr>
        <w:pStyle w:val="Compact"/>
        <w:numPr>
          <w:ilvl w:val="0"/>
          <w:numId w:val="1010"/>
        </w:numPr>
      </w:pPr>
      <w:r>
        <w:t xml:space="preserve">The advantages of regulated, centrally cleared products</w:t>
      </w:r>
    </w:p>
    <w:bookmarkEnd w:id="23"/>
    <w:bookmarkStart w:id="26" w:name="building-new-revenue-streams"/>
    <w:p>
      <w:pPr>
        <w:pStyle w:val="Heading4"/>
      </w:pPr>
      <w:r>
        <w:t xml:space="preserve">Building new revenue streams</w:t>
      </w:r>
    </w:p>
    <w:p>
      <w:pPr>
        <w:pStyle w:val="FirstParagraph"/>
      </w:pPr>
      <w:r>
        <w:t xml:space="preserve">Cboe launched</w:t>
      </w:r>
      <w:r>
        <w:t xml:space="preserve"> </w:t>
      </w:r>
      <w:r>
        <w:rPr>
          <w:b/>
          <w:bCs/>
        </w:rPr>
        <w:t xml:space="preserve">Cboe Predicts</w:t>
      </w:r>
      <w:r>
        <w:t xml:space="preserve"> </w:t>
      </w:r>
      <w:r>
        <w:t xml:space="preserve">during the quarter, initially offering binary options based on the Mini-SPX Index. The launch is strategically important but probably not financially material to second-quarter results given its June 23 introduction. (</w:t>
      </w:r>
      <w:hyperlink r:id="rId24">
        <w:r>
          <w:rPr>
            <w:rStyle w:val="Hyperlink"/>
          </w:rPr>
          <w:t xml:space="preserve">ir.cboe.com</w:t>
        </w:r>
      </w:hyperlink>
      <w:r>
        <w:t xml:space="preserve">)</w:t>
      </w:r>
    </w:p>
    <w:p>
      <w:pPr>
        <w:pStyle w:val="BodyText"/>
      </w:pPr>
      <w:r>
        <w:t xml:space="preserve">The more useful disclosures would be:</w:t>
      </w:r>
    </w:p>
    <w:p>
      <w:pPr>
        <w:pStyle w:val="Compact"/>
        <w:numPr>
          <w:ilvl w:val="0"/>
          <w:numId w:val="1011"/>
        </w:numPr>
      </w:pPr>
      <w:r>
        <w:t xml:space="preserve">Broker distribution</w:t>
      </w:r>
    </w:p>
    <w:p>
      <w:pPr>
        <w:pStyle w:val="Compact"/>
        <w:numPr>
          <w:ilvl w:val="0"/>
          <w:numId w:val="1011"/>
        </w:numPr>
      </w:pPr>
      <w:r>
        <w:t xml:space="preserve">Early customer adoption and volume</w:t>
      </w:r>
    </w:p>
    <w:p>
      <w:pPr>
        <w:pStyle w:val="Compact"/>
        <w:numPr>
          <w:ilvl w:val="0"/>
          <w:numId w:val="1011"/>
        </w:numPr>
      </w:pPr>
      <w:r>
        <w:t xml:space="preserve">Fee structure and clearing economics</w:t>
      </w:r>
    </w:p>
    <w:p>
      <w:pPr>
        <w:pStyle w:val="Compact"/>
        <w:numPr>
          <w:ilvl w:val="0"/>
          <w:numId w:val="1011"/>
        </w:numPr>
      </w:pPr>
      <w:r>
        <w:t xml:space="preserve">Regulatory status of additional contracts</w:t>
      </w:r>
    </w:p>
    <w:p>
      <w:pPr>
        <w:pStyle w:val="Compact"/>
        <w:numPr>
          <w:ilvl w:val="0"/>
          <w:numId w:val="1011"/>
        </w:numPr>
      </w:pPr>
      <w:r>
        <w:t xml:space="preserve">Plans for company-specific or economic-data event contracts</w:t>
      </w:r>
    </w:p>
    <w:p>
      <w:pPr>
        <w:pStyle w:val="FirstParagraph"/>
      </w:pPr>
      <w:r>
        <w:t xml:space="preserve">Cboe also received approval to offer extended hours for selected multi-listed single-stock options beginning July 13. Because that launch occurred after quarter-end, management’s early read-through should be viewed primarily as a third-quarter indicator. (</w:t>
      </w:r>
      <w:hyperlink r:id="rId25">
        <w:r>
          <w:rPr>
            <w:rStyle w:val="Hyperlink"/>
          </w:rPr>
          <w:t xml:space="preserve">ir.cboe.com</w:t>
        </w:r>
      </w:hyperlink>
      <w:r>
        <w:t xml:space="preserve">)</w:t>
      </w:r>
    </w:p>
    <w:bookmarkEnd w:id="26"/>
    <w:bookmarkEnd w:id="27"/>
    <w:bookmarkEnd w:id="28"/>
    <w:bookmarkStart w:id="29" w:name="capital-allocation"/>
    <w:p>
      <w:pPr>
        <w:pStyle w:val="Heading2"/>
      </w:pPr>
      <w:r>
        <w:t xml:space="preserve">Capital allocation</w:t>
      </w:r>
    </w:p>
    <w:p>
      <w:pPr>
        <w:pStyle w:val="FirstParagraph"/>
      </w:pPr>
      <w:r>
        <w:t xml:space="preserve">Cboe entered the year with substantial financial flexibility. At March 31, adjusted cash was approximately $2.1 billion, leverage was 0.8 times, and the company had about $569 million remaining under its repurchase authorizations. It repurchased $45 million of shares during the first quarter at an average price of $280.20. (</w:t>
      </w:r>
      <w:hyperlink r:id="rId16">
        <w:r>
          <w:rPr>
            <w:rStyle w:val="Hyperlink"/>
          </w:rPr>
          <w:t xml:space="preserve">ir.cboe.com</w:t>
        </w:r>
      </w:hyperlink>
      <w:r>
        <w:t xml:space="preserve">)</w:t>
      </w:r>
    </w:p>
    <w:p>
      <w:pPr>
        <w:pStyle w:val="BodyText"/>
      </w:pPr>
      <w:r>
        <w:t xml:space="preserve">The company also secured a new</w:t>
      </w:r>
      <w:r>
        <w:t xml:space="preserve"> </w:t>
      </w:r>
      <w:r>
        <w:rPr>
          <w:b/>
          <w:bCs/>
        </w:rPr>
        <w:t xml:space="preserve">$400 million revolving credit facility</w:t>
      </w:r>
      <w:r>
        <w:t xml:space="preserve"> </w:t>
      </w:r>
      <w:r>
        <w:t xml:space="preserve">on July 28.</w:t>
      </w:r>
    </w:p>
    <w:p>
      <w:pPr>
        <w:pStyle w:val="BodyText"/>
      </w:pPr>
      <w:r>
        <w:t xml:space="preserve">Watch for commentary on:</w:t>
      </w:r>
    </w:p>
    <w:p>
      <w:pPr>
        <w:pStyle w:val="Compact"/>
        <w:numPr>
          <w:ilvl w:val="0"/>
          <w:numId w:val="1012"/>
        </w:numPr>
      </w:pPr>
      <w:r>
        <w:t xml:space="preserve">Repurchases after the stock’s sharp June decline</w:t>
      </w:r>
    </w:p>
    <w:p>
      <w:pPr>
        <w:pStyle w:val="Compact"/>
        <w:numPr>
          <w:ilvl w:val="0"/>
          <w:numId w:val="1012"/>
        </w:numPr>
      </w:pPr>
      <w:r>
        <w:t xml:space="preserve">The expected third-quarter dividend review</w:t>
      </w:r>
    </w:p>
    <w:p>
      <w:pPr>
        <w:pStyle w:val="Compact"/>
        <w:numPr>
          <w:ilvl w:val="0"/>
          <w:numId w:val="1012"/>
        </w:numPr>
      </w:pPr>
      <w:r>
        <w:t xml:space="preserve">Deployment of divestiture proceeds</w:t>
      </w:r>
    </w:p>
    <w:p>
      <w:pPr>
        <w:pStyle w:val="Compact"/>
        <w:numPr>
          <w:ilvl w:val="0"/>
          <w:numId w:val="1012"/>
        </w:numPr>
      </w:pPr>
      <w:r>
        <w:t xml:space="preserve">Appetite for acquisitions versus organic investment</w:t>
      </w:r>
    </w:p>
    <w:p>
      <w:pPr>
        <w:pStyle w:val="Compact"/>
        <w:numPr>
          <w:ilvl w:val="0"/>
          <w:numId w:val="1012"/>
        </w:numPr>
      </w:pPr>
      <w:r>
        <w:t xml:space="preserve">Investment requirements for clearing, tokenization and prediction markets</w:t>
      </w:r>
    </w:p>
    <w:bookmarkEnd w:id="29"/>
    <w:bookmarkStart w:id="33" w:name="earnings-day-scorecard"/>
    <w:p>
      <w:pPr>
        <w:pStyle w:val="Heading2"/>
      </w:pPr>
      <w:r>
        <w:t xml:space="preserve">Earnings-day scorecard</w:t>
      </w:r>
    </w:p>
    <w:bookmarkStart w:id="30" w:name="clearly-positive"/>
    <w:p>
      <w:pPr>
        <w:pStyle w:val="Heading3"/>
      </w:pPr>
      <w:r>
        <w:t xml:space="preserve">Clearly positive</w:t>
      </w:r>
    </w:p>
    <w:p>
      <w:pPr>
        <w:pStyle w:val="Compact"/>
        <w:numPr>
          <w:ilvl w:val="0"/>
          <w:numId w:val="1013"/>
        </w:numPr>
      </w:pPr>
      <w:r>
        <w:t xml:space="preserve">Net revenue above roughly $725 million</w:t>
      </w:r>
    </w:p>
    <w:p>
      <w:pPr>
        <w:pStyle w:val="Compact"/>
        <w:numPr>
          <w:ilvl w:val="0"/>
          <w:numId w:val="1013"/>
        </w:numPr>
      </w:pPr>
      <w:r>
        <w:t xml:space="preserve">Adjusted EPS comfortably above $3.50</w:t>
      </w:r>
    </w:p>
    <w:p>
      <w:pPr>
        <w:pStyle w:val="Compact"/>
        <w:numPr>
          <w:ilvl w:val="0"/>
          <w:numId w:val="1013"/>
        </w:numPr>
      </w:pPr>
      <w:r>
        <w:t xml:space="preserve">Final index-options RPC at or above the preliminary $0.953 projection</w:t>
      </w:r>
    </w:p>
    <w:p>
      <w:pPr>
        <w:pStyle w:val="Compact"/>
        <w:numPr>
          <w:ilvl w:val="0"/>
          <w:numId w:val="1013"/>
        </w:numPr>
      </w:pPr>
      <w:r>
        <w:t xml:space="preserve">Another reduction in expense guidance</w:t>
      </w:r>
    </w:p>
    <w:p>
      <w:pPr>
        <w:pStyle w:val="Compact"/>
        <w:numPr>
          <w:ilvl w:val="0"/>
          <w:numId w:val="1013"/>
        </w:numPr>
      </w:pPr>
      <w:r>
        <w:t xml:space="preserve">Revenue guidance raised or narrowed toward the upper end</w:t>
      </w:r>
    </w:p>
    <w:p>
      <w:pPr>
        <w:pStyle w:val="Compact"/>
        <w:numPr>
          <w:ilvl w:val="0"/>
          <w:numId w:val="1013"/>
        </w:numPr>
      </w:pPr>
      <w:r>
        <w:t xml:space="preserve">Data Vantage recurring growth remains in the low-double digits</w:t>
      </w:r>
    </w:p>
    <w:p>
      <w:pPr>
        <w:pStyle w:val="Compact"/>
        <w:numPr>
          <w:ilvl w:val="0"/>
          <w:numId w:val="1013"/>
        </w:numPr>
      </w:pPr>
      <w:r>
        <w:t xml:space="preserve">Clear evidence that restructuring savings are arriving without disrupting execution</w:t>
      </w:r>
    </w:p>
    <w:bookmarkEnd w:id="30"/>
    <w:bookmarkStart w:id="31" w:name="mixed"/>
    <w:p>
      <w:pPr>
        <w:pStyle w:val="Heading3"/>
      </w:pPr>
      <w:r>
        <w:t xml:space="preserve">Mixed</w:t>
      </w:r>
    </w:p>
    <w:p>
      <w:pPr>
        <w:pStyle w:val="Compact"/>
        <w:numPr>
          <w:ilvl w:val="0"/>
          <w:numId w:val="1014"/>
        </w:numPr>
      </w:pPr>
      <w:r>
        <w:t xml:space="preserve">Headline beat driven mainly by transaction volumes</w:t>
      </w:r>
    </w:p>
    <w:p>
      <w:pPr>
        <w:pStyle w:val="Compact"/>
        <w:numPr>
          <w:ilvl w:val="0"/>
          <w:numId w:val="1014"/>
        </w:numPr>
      </w:pPr>
      <w:r>
        <w:t xml:space="preserve">Data Vantage slows sharply after first-quarter one-time sales</w:t>
      </w:r>
    </w:p>
    <w:p>
      <w:pPr>
        <w:pStyle w:val="Compact"/>
        <w:numPr>
          <w:ilvl w:val="0"/>
          <w:numId w:val="1014"/>
        </w:numPr>
      </w:pPr>
      <w:r>
        <w:t xml:space="preserve">Strong reported EPS but no improvement to guidance</w:t>
      </w:r>
    </w:p>
    <w:p>
      <w:pPr>
        <w:pStyle w:val="Compact"/>
        <w:numPr>
          <w:ilvl w:val="0"/>
          <w:numId w:val="1014"/>
        </w:numPr>
      </w:pPr>
      <w:r>
        <w:t xml:space="preserve">Higher restructuring or incentive-compensation costs</w:t>
      </w:r>
    </w:p>
    <w:p>
      <w:pPr>
        <w:pStyle w:val="Compact"/>
        <w:numPr>
          <w:ilvl w:val="0"/>
          <w:numId w:val="1014"/>
        </w:numPr>
      </w:pPr>
      <w:r>
        <w:t xml:space="preserve">Limited visibility on the Canada and Australia closings</w:t>
      </w:r>
    </w:p>
    <w:p>
      <w:pPr>
        <w:pStyle w:val="Compact"/>
        <w:numPr>
          <w:ilvl w:val="0"/>
          <w:numId w:val="1014"/>
        </w:numPr>
      </w:pPr>
      <w:r>
        <w:t xml:space="preserve">Cautious commentary on July volumes or RPC</w:t>
      </w:r>
    </w:p>
    <w:bookmarkEnd w:id="31"/>
    <w:bookmarkStart w:id="32" w:name="negative"/>
    <w:p>
      <w:pPr>
        <w:pStyle w:val="Heading3"/>
      </w:pPr>
      <w:r>
        <w:t xml:space="preserve">Negative</w:t>
      </w:r>
    </w:p>
    <w:p>
      <w:pPr>
        <w:pStyle w:val="Compact"/>
        <w:numPr>
          <w:ilvl w:val="0"/>
          <w:numId w:val="1015"/>
        </w:numPr>
      </w:pPr>
      <w:r>
        <w:t xml:space="preserve">Options revenue trails what the disclosed volume data would imply</w:t>
      </w:r>
    </w:p>
    <w:p>
      <w:pPr>
        <w:pStyle w:val="Compact"/>
        <w:numPr>
          <w:ilvl w:val="0"/>
          <w:numId w:val="1015"/>
        </w:numPr>
      </w:pPr>
      <w:r>
        <w:t xml:space="preserve">RPC falls below the preliminary projection</w:t>
      </w:r>
    </w:p>
    <w:p>
      <w:pPr>
        <w:pStyle w:val="Compact"/>
        <w:numPr>
          <w:ilvl w:val="0"/>
          <w:numId w:val="1015"/>
        </w:numPr>
      </w:pPr>
      <w:r>
        <w:t xml:space="preserve">Expense savings are delayed or offset by restructuring costs</w:t>
      </w:r>
    </w:p>
    <w:p>
      <w:pPr>
        <w:pStyle w:val="Compact"/>
        <w:numPr>
          <w:ilvl w:val="0"/>
          <w:numId w:val="1015"/>
        </w:numPr>
      </w:pPr>
      <w:r>
        <w:t xml:space="preserve">Full-year revenue or Data Vantage guidance is reduced</w:t>
      </w:r>
    </w:p>
    <w:p>
      <w:pPr>
        <w:pStyle w:val="Compact"/>
        <w:numPr>
          <w:ilvl w:val="0"/>
          <w:numId w:val="1015"/>
        </w:numPr>
      </w:pPr>
      <w:r>
        <w:t xml:space="preserve">Management signals material pricing pressure or competitive share loss</w:t>
      </w:r>
    </w:p>
    <w:p>
      <w:pPr>
        <w:pStyle w:val="Compact"/>
        <w:numPr>
          <w:ilvl w:val="0"/>
          <w:numId w:val="1015"/>
        </w:numPr>
      </w:pPr>
      <w:r>
        <w:t xml:space="preserve">Weak early adoption of Cboe Predicts without a clear distribution plan</w:t>
      </w:r>
    </w:p>
    <w:bookmarkEnd w:id="32"/>
    <w:bookmarkEnd w:id="33"/>
    <w:bookmarkStart w:id="34" w:name="questions-investors-should-want-answered"/>
    <w:p>
      <w:pPr>
        <w:pStyle w:val="Heading2"/>
      </w:pPr>
      <w:r>
        <w:t xml:space="preserve">Questions investors should want answered</w:t>
      </w:r>
    </w:p>
    <w:p>
      <w:pPr>
        <w:pStyle w:val="Compact"/>
        <w:numPr>
          <w:ilvl w:val="0"/>
          <w:numId w:val="1016"/>
        </w:numPr>
      </w:pPr>
      <w:r>
        <w:t xml:space="preserve">How much of first-quarter Data Vantage growth was recurring versus one-time?</w:t>
      </w:r>
    </w:p>
    <w:p>
      <w:pPr>
        <w:pStyle w:val="Compact"/>
        <w:numPr>
          <w:ilvl w:val="0"/>
          <w:numId w:val="1016"/>
        </w:numPr>
      </w:pPr>
      <w:r>
        <w:t xml:space="preserve">How much restructuring savings were realized in the second quarter, and what is the expected exit-rate expense base?</w:t>
      </w:r>
    </w:p>
    <w:p>
      <w:pPr>
        <w:pStyle w:val="Compact"/>
        <w:numPr>
          <w:ilvl w:val="0"/>
          <w:numId w:val="1016"/>
        </w:numPr>
      </w:pPr>
      <w:r>
        <w:t xml:space="preserve">Will the record SPX and 0DTE volumes persist if volatility remains subdued?</w:t>
      </w:r>
    </w:p>
    <w:p>
      <w:pPr>
        <w:pStyle w:val="Compact"/>
        <w:numPr>
          <w:ilvl w:val="0"/>
          <w:numId w:val="1016"/>
        </w:numPr>
      </w:pPr>
      <w:r>
        <w:t xml:space="preserve">What caused the sequential decline in total-options RPC, and should $0.317 be treated as a reasonable near-term baseline?</w:t>
      </w:r>
    </w:p>
    <w:p>
      <w:pPr>
        <w:pStyle w:val="Compact"/>
        <w:numPr>
          <w:ilvl w:val="0"/>
          <w:numId w:val="1016"/>
        </w:numPr>
      </w:pPr>
      <w:r>
        <w:t xml:space="preserve">When are the Canada and Australia sales expected to close, and what will pro forma guidance look like?</w:t>
      </w:r>
    </w:p>
    <w:p>
      <w:pPr>
        <w:pStyle w:val="Compact"/>
        <w:numPr>
          <w:ilvl w:val="0"/>
          <w:numId w:val="1016"/>
        </w:numPr>
      </w:pPr>
      <w:r>
        <w:t xml:space="preserve">What early volumes and broker participation has Cboe Predicts generated?</w:t>
      </w:r>
    </w:p>
    <w:p>
      <w:pPr>
        <w:pStyle w:val="Compact"/>
        <w:numPr>
          <w:ilvl w:val="0"/>
          <w:numId w:val="1016"/>
        </w:numPr>
      </w:pPr>
      <w:r>
        <w:t xml:space="preserve">How does management assess the competitive threat from perpetual futures and other event-market products?</w:t>
      </w:r>
    </w:p>
    <w:p>
      <w:pPr>
        <w:pStyle w:val="Compact"/>
        <w:numPr>
          <w:ilvl w:val="0"/>
          <w:numId w:val="1016"/>
        </w:numPr>
      </w:pPr>
      <w:r>
        <w:t xml:space="preserve">What has Cboe seen since extended-hours single-stock options launched on July 13?</w:t>
      </w:r>
    </w:p>
    <w:p>
      <w:pPr>
        <w:pStyle w:val="Compact"/>
        <w:numPr>
          <w:ilvl w:val="0"/>
          <w:numId w:val="1016"/>
        </w:numPr>
      </w:pPr>
      <w:r>
        <w:t xml:space="preserve">Is the company willing to accelerate repurchases following the stock’s recent volatility?</w:t>
      </w:r>
    </w:p>
    <w:bookmarkEnd w:id="34"/>
    <w:bookmarkStart w:id="35" w:name="bottom-line"/>
    <w:p>
      <w:pPr>
        <w:pStyle w:val="Heading2"/>
      </w:pPr>
      <w:r>
        <w:t xml:space="preserve">Bottom line</w:t>
      </w:r>
    </w:p>
    <w:p>
      <w:pPr>
        <w:pStyle w:val="FirstParagraph"/>
      </w:pPr>
      <w:r>
        <w:t xml:space="preserve">The underlying quarter appears strong enough to support at least an in-line result, with a reasonable case for upside. Record index and multi-listed-options volumes, higher year-over-year RPC and strong June activity across equities, FX and European markets create a favorable revenue backdrop.</w:t>
      </w:r>
    </w:p>
    <w:p>
      <w:pPr>
        <w:pStyle w:val="BodyText"/>
      </w:pPr>
      <w:r>
        <w:t xml:space="preserve">The harder question is whether that strength is already reflected in expectations. With Cboe coming off a $3.70 adjusted-EPS first quarter and having already raised guidance, a small headline beat may not be enough. The most bullish outcome would combine</w:t>
      </w:r>
      <w:r>
        <w:t xml:space="preserve"> </w:t>
      </w:r>
      <w:r>
        <w:rPr>
          <w:b/>
          <w:bCs/>
        </w:rPr>
        <w:t xml:space="preserve">strong options monetization, recurring Data Vantage growth, visible cost savings and another guidance increase</w:t>
      </w:r>
      <w:r>
        <w:t xml:space="preserve">.</w:t>
      </w:r>
    </w:p>
    <w:p>
      <w:pPr>
        <w:pStyle w:val="BodyText"/>
      </w:pPr>
      <w:r>
        <w:t xml:space="preserve">My pre-report bias is</w:t>
      </w:r>
      <w:r>
        <w:t xml:space="preserve"> </w:t>
      </w:r>
      <w:r>
        <w:rPr>
          <w:b/>
          <w:bCs/>
        </w:rPr>
        <w:t xml:space="preserve">modestly constructive</w:t>
      </w:r>
      <w:r>
        <w:t xml:space="preserve">, but the stock reaction is likely to hinge less on the reported quarter than on management’s confidence that current margins and earnings growth remain durable as market conditions normalize and new forms of derivatives competition develop.</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ir.cboe.com/news/news-details/2026/Cboe-Announces-Agreement-to-Sell-Cboe-Australia-and-Cboe-Canada-to-TMX-Group-2026-sskiJDRRf-/default.aspx?utm_source=openai" TargetMode="External" /><Relationship Type="http://schemas.openxmlformats.org/officeDocument/2006/relationships/hyperlink" Id="rId9" Target="https://ir.cboe.com/news/news-details/2026/Cboe-Global-Markets-Announces-Date-of-Second-Quarter-2026-Earnings-Release-and-Conference-Call/default.aspx?utm_source=openai" TargetMode="External" /><Relationship Type="http://schemas.openxmlformats.org/officeDocument/2006/relationships/hyperlink" Id="rId16" Target="https://ir.cboe.com/news/news-details/2026/Cboe-Global-Markets-Reports-Results-for-First-Quarter-2026-and-Continued-Execution-of-Strategic-Realignment/default.aspx?utm_source=openai" TargetMode="External" /><Relationship Type="http://schemas.openxmlformats.org/officeDocument/2006/relationships/hyperlink" Id="rId13" Target="https://ir.cboe.com/news/news-details/2026/Cboe-Global-Markets-Reports-Trading-Volume-for-June-2026/default.aspx" TargetMode="External" /><Relationship Type="http://schemas.openxmlformats.org/officeDocument/2006/relationships/hyperlink" Id="rId24" Target="https://ir.cboe.com/news/news-details/2026/Cboe-Introduces-Cboe-Predicts-Launching-First-Products-in-New-Prediction-Markets-Suite/default.aspx?utm_source=openai" TargetMode="External" /><Relationship Type="http://schemas.openxmlformats.org/officeDocument/2006/relationships/hyperlink" Id="rId25" Target="https://ir.cboe.com/news/news-details/2026/Cboe-Receives-SEC-Approval-to-Offer-Extended-Trading-Hours-for-Select-Multi-Listed-Single-Stock-Options/default.aspx?utm_source=openai" TargetMode="External" /><Relationship Type="http://schemas.openxmlformats.org/officeDocument/2006/relationships/hyperlink" Id="rId22" Target="https://www.investing.com/news/stock-market-news/us-exchanges-extend-selloff-as-perpetual-futures-approval-unnerves-investors-4722667?utm_source=openai" TargetMode="External" /><Relationship Type="http://schemas.openxmlformats.org/officeDocument/2006/relationships/hyperlink" Id="rId11" Target="https://www.kiplinger.com/investing/stocks/17494/next-week-earnings-calendar-stocks" TargetMode="External" /></Relationships>
</file>

<file path=word/_rels/footnotes.xml.rels><?xml version="1.0" encoding="UTF-8"?><Relationships xmlns="http://schemas.openxmlformats.org/package/2006/relationships"><Relationship Type="http://schemas.openxmlformats.org/officeDocument/2006/relationships/hyperlink" Id="rId20" Target="https://ir.cboe.com/news/news-details/2026/Cboe-Announces-Agreement-to-Sell-Cboe-Australia-and-Cboe-Canada-to-TMX-Group-2026-sskiJDRRf-/default.aspx?utm_source=openai" TargetMode="External" /><Relationship Type="http://schemas.openxmlformats.org/officeDocument/2006/relationships/hyperlink" Id="rId9" Target="https://ir.cboe.com/news/news-details/2026/Cboe-Global-Markets-Announces-Date-of-Second-Quarter-2026-Earnings-Release-and-Conference-Call/default.aspx?utm_source=openai" TargetMode="External" /><Relationship Type="http://schemas.openxmlformats.org/officeDocument/2006/relationships/hyperlink" Id="rId16" Target="https://ir.cboe.com/news/news-details/2026/Cboe-Global-Markets-Reports-Results-for-First-Quarter-2026-and-Continued-Execution-of-Strategic-Realignment/default.aspx?utm_source=openai" TargetMode="External" /><Relationship Type="http://schemas.openxmlformats.org/officeDocument/2006/relationships/hyperlink" Id="rId13" Target="https://ir.cboe.com/news/news-details/2026/Cboe-Global-Markets-Reports-Trading-Volume-for-June-2026/default.aspx" TargetMode="External" /><Relationship Type="http://schemas.openxmlformats.org/officeDocument/2006/relationships/hyperlink" Id="rId24" Target="https://ir.cboe.com/news/news-details/2026/Cboe-Introduces-Cboe-Predicts-Launching-First-Products-in-New-Prediction-Markets-Suite/default.aspx?utm_source=openai" TargetMode="External" /><Relationship Type="http://schemas.openxmlformats.org/officeDocument/2006/relationships/hyperlink" Id="rId25" Target="https://ir.cboe.com/news/news-details/2026/Cboe-Receives-SEC-Approval-to-Offer-Extended-Trading-Hours-for-Select-Multi-Listed-Single-Stock-Options/default.aspx?utm_source=openai" TargetMode="External" /><Relationship Type="http://schemas.openxmlformats.org/officeDocument/2006/relationships/hyperlink" Id="rId22" Target="https://www.investing.com/news/stock-market-news/us-exchanges-extend-selloff-as-perpetual-futures-approval-unnerves-investors-4722667?utm_source=openai" TargetMode="External" /><Relationship Type="http://schemas.openxmlformats.org/officeDocument/2006/relationships/hyperlink" Id="rId11" Target="https://www.kiplinger.com/investing/stocks/17494/next-week-earnings-calendar-stock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2026-07-31T00:12:27Z</dcterms:created>
  <dcterms:modified xsi:type="dcterms:W3CDTF">2026-07-31T00:12:27Z</dcterms:modified>
</cp:coreProperties>
</file>

<file path=docProps/custom.xml><?xml version="1.0" encoding="utf-8"?>
<Properties xmlns="http://schemas.openxmlformats.org/officeDocument/2006/custom-properties" xmlns:vt="http://schemas.openxmlformats.org/officeDocument/2006/docPropsVTypes"/>
</file>