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1ee39b73eebfed78f1d9189e78a6b855cb1cfef"/>
    <w:p>
      <w:pPr>
        <w:pStyle w:val="Heading1"/>
      </w:pPr>
      <w:r>
        <w:t xml:space="preserve">Cboe Global Markets (CBOE) — 2Q26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As of</w:t>
      </w:r>
      <w:r>
        <w:t xml:space="preserve"> </w:t>
      </w:r>
      <w:r>
        <w:rPr>
          <w:b/>
          <w:bCs/>
        </w:rPr>
        <w:t xml:space="preserve">Friday, July 31, 2026</w:t>
      </w:r>
      <w:r>
        <w:t xml:space="preserve">, Cboe is scheduled to report</w:t>
      </w:r>
      <w:r>
        <w:t xml:space="preserve"> </w:t>
      </w:r>
      <w:r>
        <w:rPr>
          <w:b/>
          <w:bCs/>
        </w:rPr>
        <w:t xml:space="preserve">this morning before the U.S. market opens</w:t>
      </w:r>
      <w:r>
        <w:t xml:space="preserve">, not “tomorrow.” Published calendars list a consensus EPS estimate of</w:t>
      </w:r>
      <w:r>
        <w:t xml:space="preserve"> </w:t>
      </w:r>
      <m:oMath>
        <m:r>
          <m:t>3.46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;</m:t>
        </m:r>
        <m:r>
          <m:t>a</m:t>
        </m:r>
        <m:r>
          <m:t>s</m:t>
        </m:r>
        <m:r>
          <m:t>e</m:t>
        </m:r>
        <m:r>
          <m:t>p</m:t>
        </m:r>
        <m:r>
          <m:t>a</m:t>
        </m:r>
        <m:r>
          <m:t>r</m:t>
        </m:r>
        <m:r>
          <m:t>a</m:t>
        </m:r>
        <m:r>
          <m:t>t</m:t>
        </m:r>
        <m:r>
          <m:t>e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f</m:t>
        </m:r>
        <m:r>
          <m:t>e</m:t>
        </m:r>
        <m:r>
          <m:t>e</m:t>
        </m:r>
        <m:r>
          <m:t>d</m:t>
        </m:r>
        <m:r>
          <m:t>l</m:t>
        </m:r>
        <m:r>
          <m:t>i</m:t>
        </m:r>
        <m:r>
          <m:t>s</m:t>
        </m:r>
        <m:r>
          <m:t>t</m:t>
        </m:r>
        <m:r>
          <m:t>s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o</m:t>
        </m:r>
        <m:r>
          <m:t>f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714 million</w:t>
      </w:r>
      <w:r>
        <w:t xml:space="preserve">. (</w:t>
      </w:r>
      <w:hyperlink r:id="rId9">
        <w:r>
          <w:rPr>
            <w:rStyle w:val="Hyperlink"/>
          </w:rPr>
          <w:t xml:space="preserve">kiplinger.com</w:t>
        </w:r>
      </w:hyperlink>
      <w:r>
        <w:t xml:space="preserve">)</w:t>
      </w:r>
    </w:p>
    <w:bookmarkStart w:id="10" w:name="Xcb41a27201295d46578199544914b07cf42c279"/>
    <w:p>
      <w:pPr>
        <w:pStyle w:val="Heading2"/>
      </w:pPr>
      <w:r>
        <w:t xml:space="preserve">Investment view: the setup is strong—but the bar is no longer low</w:t>
      </w:r>
    </w:p>
    <w:p>
      <w:pPr>
        <w:pStyle w:val="FirstParagraph"/>
      </w:pPr>
      <w:r>
        <w:t xml:space="preserve">Cboe enters 2Q with an unusually visible fundamental setup: reported monthly statistics imply another record quarter for U.S. options volumes, particularly proprietary index options and SPX 0DTE. The main debate is therefore less about whether Cboe posts strong year-over-year growth, and more about: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the strength is sufficient to beat elevated expectations;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transaction-fee growth converts into continued margin expansion;</w:t>
      </w:r>
      <w:r>
        <w:t xml:space="preserve"> </w:t>
      </w:r>
      <w:r>
        <w:t xml:space="preserve">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management can sustain its raised full-year organic-growth outlook after an exceptionally strong 1Q.</w:t>
      </w:r>
    </w:p>
    <w:p>
      <w:pPr>
        <w:pStyle w:val="FirstParagraph"/>
      </w:pPr>
      <w:r>
        <w:t xml:space="preserve">My base case is for a solid beat-or-meet quarter driven by derivatives, with the stock reaction determined primarily by the</w:t>
      </w:r>
      <w:r>
        <w:t xml:space="preserve"> </w:t>
      </w:r>
      <w:r>
        <w:rPr>
          <w:b/>
          <w:bCs/>
        </w:rPr>
        <w:t xml:space="preserve">trajectory of 2H volume/RPC</w:t>
      </w:r>
      <w:r>
        <w:t xml:space="preserve">, Data Vantage growth, and any change to FY26 guidance.</w:t>
      </w:r>
    </w:p>
    <w:p>
      <w:r>
        <w:pict>
          <v:rect style="width:0;height:1.5pt" o:hralign="center" o:hrstd="t" o:hr="t"/>
        </w:pict>
      </w:r>
    </w:p>
    <w:bookmarkEnd w:id="10"/>
    <w:bookmarkStart w:id="11" w:name="the-numbers-that-matter"/>
    <w:p>
      <w:pPr>
        <w:pStyle w:val="Heading2"/>
      </w:pPr>
      <w:r>
        <w:t xml:space="preserve">The numbers that matter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consensus / setup</w:t>
            </w:r>
          </w:p>
        </w:tc>
        <w:tc>
          <w:tcPr/>
          <w:p>
            <w:pPr>
              <w:pStyle w:val="Compact"/>
            </w:pPr>
            <w:r>
              <w:t xml:space="preserve">Investor read-through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$2.46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$3.46 consensus</w:t>
            </w:r>
          </w:p>
        </w:tc>
        <w:tc>
          <w:tcPr/>
          <w:p>
            <w:pPr>
              <w:pStyle w:val="Compact"/>
            </w:pPr>
            <w:r>
              <w:t xml:space="preserve">Implies roughly 41% year-over-year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$587.3M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~$714M consensus</w:t>
            </w:r>
          </w:p>
        </w:tc>
        <w:tc>
          <w:tcPr/>
          <w:p>
            <w:pPr>
              <w:pStyle w:val="Compact"/>
            </w:pPr>
            <w:r>
              <w:t xml:space="preserve">Implies roughly 22%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Options net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$364.8M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Key upside driver</w:t>
            </w:r>
          </w:p>
        </w:tc>
        <w:tc>
          <w:tcPr/>
          <w:p>
            <w:pPr>
              <w:pStyle w:val="Compact"/>
            </w:pPr>
            <w:r>
              <w:t xml:space="preserve">Proprietary-index mix should be highly favorable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Cboe options ADV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17.3M contracts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21.9M in 2Q26</w:t>
            </w:r>
          </w:p>
        </w:tc>
        <w:tc>
          <w:tcPr/>
          <w:p>
            <w:pPr>
              <w:pStyle w:val="Compact"/>
            </w:pPr>
            <w:r>
              <w:t xml:space="preserve">Record quarter; up ~27% year over year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Index-options ADV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4.7M contracts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6.2M in 2Q26</w:t>
            </w:r>
          </w:p>
        </w:tc>
        <w:tc>
          <w:tcPr/>
          <w:p>
            <w:pPr>
              <w:pStyle w:val="Compact"/>
            </w:pPr>
            <w:r>
              <w:t xml:space="preserve">Record level; higher-value volume mix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options RPC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$0.300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$0.317 projected</w:t>
            </w:r>
          </w:p>
        </w:tc>
        <w:tc>
          <w:tcPr/>
          <w:p>
            <w:pPr>
              <w:pStyle w:val="Compact"/>
            </w:pPr>
            <w:r>
              <w:t xml:space="preserve">Supports both revenue growth and mix-led monetization</w:t>
            </w:r>
          </w:p>
        </w:tc>
      </w:tr>
    </w:tbl>
    <w:p>
      <w:pPr>
        <w:pStyle w:val="BodyText"/>
      </w:pPr>
      <w:r>
        <w:rPr>
          <w:i/>
          <w:iCs/>
        </w:rPr>
        <w:t xml:space="preserve">Note: “net revenue” is Cboe’s revenue less cost of revenues measure. Consensus figures are third-party published estimates; Cboe does not provide quarterly EPS or revenue guidance.</w:t>
      </w:r>
    </w:p>
    <w:p>
      <w:r>
        <w:pict>
          <v:rect style="width:0;height:1.5pt" o:hralign="center" o:hrstd="t" o:hr="t"/>
        </w:pict>
      </w:r>
    </w:p>
    <w:bookmarkEnd w:id="11"/>
    <w:bookmarkStart w:id="17" w:name="why-the-quarter-should-be-strong"/>
    <w:p>
      <w:pPr>
        <w:pStyle w:val="Heading2"/>
      </w:pPr>
      <w:r>
        <w:t xml:space="preserve">Why the quarter should be strong</w:t>
      </w:r>
    </w:p>
    <w:bookmarkStart w:id="13" w:name="X6d476080d7f49f155efcab79c5704783db07954"/>
    <w:p>
      <w:pPr>
        <w:pStyle w:val="Heading3"/>
      </w:pPr>
      <w:r>
        <w:t xml:space="preserve">1. Record derivatives activity is largely known—but still powerful</w:t>
      </w:r>
    </w:p>
    <w:p>
      <w:pPr>
        <w:pStyle w:val="FirstParagraph"/>
      </w:pPr>
      <w:r>
        <w:t xml:space="preserve">Cboe has already disclosed that total options ADV reached a</w:t>
      </w:r>
      <w:r>
        <w:t xml:space="preserve"> </w:t>
      </w:r>
      <w:r>
        <w:rPr>
          <w:b/>
          <w:bCs/>
        </w:rPr>
        <w:t xml:space="preserve">record 21.9 million contracts</w:t>
      </w:r>
      <w:r>
        <w:t xml:space="preserve"> </w:t>
      </w:r>
      <w:r>
        <w:t xml:space="preserve">in 2Q26, including a record</w:t>
      </w:r>
      <w:r>
        <w:t xml:space="preserve"> </w:t>
      </w:r>
      <w:r>
        <w:rPr>
          <w:b/>
          <w:bCs/>
        </w:rPr>
        <w:t xml:space="preserve">15.7 million</w:t>
      </w:r>
      <w:r>
        <w:t xml:space="preserve"> </w:t>
      </w:r>
      <w:r>
        <w:t xml:space="preserve">in multi-listed options and</w:t>
      </w:r>
      <w:r>
        <w:t xml:space="preserve"> </w:t>
      </w:r>
      <w:r>
        <w:rPr>
          <w:b/>
          <w:bCs/>
        </w:rPr>
        <w:t xml:space="preserve">6.2 million</w:t>
      </w:r>
      <w:r>
        <w:t xml:space="preserve"> </w:t>
      </w:r>
      <w:r>
        <w:t xml:space="preserve">in proprietary index options. SPX ADV reached a record</w:t>
      </w:r>
      <w:r>
        <w:t xml:space="preserve"> </w:t>
      </w:r>
      <w:r>
        <w:rPr>
          <w:b/>
          <w:bCs/>
        </w:rPr>
        <w:t xml:space="preserve">5.1 million</w:t>
      </w:r>
      <w:r>
        <w:t xml:space="preserve">, while SPX 0DTE ADV reached</w:t>
      </w:r>
      <w:r>
        <w:t xml:space="preserve"> </w:t>
      </w:r>
      <w:r>
        <w:rPr>
          <w:b/>
          <w:bCs/>
        </w:rPr>
        <w:t xml:space="preserve">3.1 million</w:t>
      </w:r>
      <w:r>
        <w:t xml:space="preserve"> </w:t>
      </w:r>
      <w:r>
        <w:t xml:space="preserve">for the quarter. (</w:t>
      </w:r>
      <w:hyperlink r:id="rId12">
        <w:r>
          <w:rPr>
            <w:rStyle w:val="Hyperlink"/>
          </w:rPr>
          <w:t xml:space="preserve">ir.cboe.com</w:t>
        </w:r>
      </w:hyperlink>
      <w:r>
        <w:t xml:space="preserve">)</w:t>
      </w:r>
    </w:p>
    <w:p>
      <w:pPr>
        <w:pStyle w:val="BodyText"/>
      </w:pPr>
      <w:r>
        <w:t xml:space="preserve">That is important because Cboe’s index franchise is structurally more valuable than its multi-listed business:</w:t>
      </w:r>
    </w:p>
    <w:p>
      <w:pPr>
        <w:pStyle w:val="Compact"/>
        <w:numPr>
          <w:ilvl w:val="0"/>
          <w:numId w:val="1002"/>
        </w:numPr>
      </w:pPr>
      <w:r>
        <w:t xml:space="preserve">Index options have significantly higher revenue per contract than multi-listed options.</w:t>
      </w:r>
    </w:p>
    <w:p>
      <w:pPr>
        <w:pStyle w:val="Compact"/>
        <w:numPr>
          <w:ilvl w:val="0"/>
          <w:numId w:val="1002"/>
        </w:numPr>
      </w:pPr>
      <w:r>
        <w:t xml:space="preserve">Cboe’s projected 2Q index-options RPC is</w:t>
      </w:r>
      <w:r>
        <w:t xml:space="preserve"> </w:t>
      </w:r>
      <m:oMath>
        <m:r>
          <m:t>0.953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v</m:t>
        </m:r>
        <m:r>
          <m:t>e</m:t>
        </m:r>
        <m:r>
          <m:t>r</m:t>
        </m:r>
        <m:r>
          <m:t>s</m:t>
        </m:r>
        <m:r>
          <m:t>u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0.064</w:t>
      </w:r>
      <w:r>
        <w:t xml:space="preserve"> </w:t>
      </w:r>
      <w:r>
        <w:t xml:space="preserve">for multi-listed options.</w:t>
      </w:r>
    </w:p>
    <w:p>
      <w:pPr>
        <w:pStyle w:val="Compact"/>
        <w:numPr>
          <w:ilvl w:val="0"/>
          <w:numId w:val="1002"/>
        </w:numPr>
      </w:pPr>
      <w:r>
        <w:t xml:space="preserve">The company’s projected total-options RPC is</w:t>
      </w:r>
      <w:r>
        <w:t xml:space="preserve"> </w:t>
      </w:r>
      <m:oMath>
        <m:r>
          <m:t>0.317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f</m:t>
        </m:r>
        <m:r>
          <m:t>r</m:t>
        </m:r>
        <m:r>
          <m:t>o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0.300</w:t>
      </w:r>
      <w:r>
        <w:t xml:space="preserve"> </w:t>
      </w:r>
      <w:r>
        <w:t xml:space="preserve">in 2Q25, despite the industry’s continued shift toward high-frequency, short-dated contracts. (</w:t>
      </w:r>
      <w:hyperlink r:id="rId12">
        <w:r>
          <w:rPr>
            <w:rStyle w:val="Hyperlink"/>
          </w:rPr>
          <w:t xml:space="preserve">ir.cboe.com</w:t>
        </w:r>
      </w:hyperlink>
      <w:r>
        <w:t xml:space="preserve">)</w:t>
      </w:r>
    </w:p>
    <w:p>
      <w:pPr>
        <w:pStyle w:val="FirstParagraph"/>
      </w:pPr>
      <w:r>
        <w:rPr>
          <w:b/>
          <w:bCs/>
        </w:rPr>
        <w:t xml:space="preserve">Bottom line:</w:t>
      </w:r>
      <w:r>
        <w:t xml:space="preserve"> </w:t>
      </w:r>
      <w:r>
        <w:t xml:space="preserve">Volume and pricing/mix both appear supportive. Using Cboe’s disclosed volumes and preliminary RPCs, options transaction-and-clearing revenue should grow materially faster than the 2Q25 base.</w:t>
      </w:r>
    </w:p>
    <w:bookmarkEnd w:id="13"/>
    <w:bookmarkStart w:id="15" w:name="X9b04a691917bb0cca9aadb206adb00964cf94ac"/>
    <w:p>
      <w:pPr>
        <w:pStyle w:val="Heading3"/>
      </w:pPr>
      <w:r>
        <w:t xml:space="preserve">2. 0DTE is not merely an industry-volume story—it is a Cboe monetization story</w:t>
      </w:r>
    </w:p>
    <w:p>
      <w:pPr>
        <w:pStyle w:val="FirstParagraph"/>
      </w:pPr>
      <w:r>
        <w:t xml:space="preserve">The options industry’s 2Q ADV rose more than</w:t>
      </w:r>
      <w:r>
        <w:t xml:space="preserve"> </w:t>
      </w:r>
      <w:r>
        <w:rPr>
          <w:b/>
          <w:bCs/>
        </w:rPr>
        <w:t xml:space="preserve">19% year over year</w:t>
      </w:r>
      <w:r>
        <w:t xml:space="preserve"> </w:t>
      </w:r>
      <w:r>
        <w:t xml:space="preserve">to 72.8 million contracts, led by index and ETF products. Index-option volume grew 25% year to date, and 0DTE volume rose 46.2% year to date to more than 20 million contracts per day. (</w:t>
      </w:r>
      <w:hyperlink r:id="rId14">
        <w:r>
          <w:rPr>
            <w:rStyle w:val="Hyperlink"/>
          </w:rPr>
          <w:t xml:space="preserve">cboe.com</w:t>
        </w:r>
      </w:hyperlink>
      <w:r>
        <w:t xml:space="preserve">)</w:t>
      </w:r>
    </w:p>
    <w:p>
      <w:pPr>
        <w:pStyle w:val="BodyText"/>
      </w:pPr>
      <w:r>
        <w:t xml:space="preserve">For Cboe, the key distinction is that its proprietary SPX complex is central to this trend. The company reported a June single-day record of</w:t>
      </w:r>
      <w:r>
        <w:t xml:space="preserve"> </w:t>
      </w:r>
      <w:r>
        <w:rPr>
          <w:b/>
          <w:bCs/>
        </w:rPr>
        <w:t xml:space="preserve">7.8 million SPX contracts</w:t>
      </w:r>
      <w:r>
        <w:t xml:space="preserve">, including a record</w:t>
      </w:r>
      <w:r>
        <w:t xml:space="preserve"> </w:t>
      </w:r>
      <w:r>
        <w:rPr>
          <w:b/>
          <w:bCs/>
        </w:rPr>
        <w:t xml:space="preserve">3.3 million daily SPX 0DTE ADV</w:t>
      </w:r>
      <w:r>
        <w:t xml:space="preserve"> </w:t>
      </w:r>
      <w:r>
        <w:t xml:space="preserve">for the month. (</w:t>
      </w:r>
      <w:hyperlink r:id="rId12">
        <w:r>
          <w:rPr>
            <w:rStyle w:val="Hyperlink"/>
          </w:rPr>
          <w:t xml:space="preserve">ir.cboe.com</w:t>
        </w:r>
      </w:hyperlink>
      <w:r>
        <w:t xml:space="preserve">)</w:t>
      </w:r>
    </w:p>
    <w:p>
      <w:pPr>
        <w:pStyle w:val="BodyText"/>
      </w:pPr>
      <w:r>
        <w:t xml:space="preserve">Investors should focus on whether management characterizes 0DTE demand as:</w:t>
      </w:r>
    </w:p>
    <w:p>
      <w:pPr>
        <w:pStyle w:val="Compact"/>
        <w:numPr>
          <w:ilvl w:val="0"/>
          <w:numId w:val="1003"/>
        </w:numPr>
      </w:pPr>
      <w:r>
        <w:t xml:space="preserve">durable institutional hedging and tactical risk management,</w:t>
      </w:r>
    </w:p>
    <w:p>
      <w:pPr>
        <w:pStyle w:val="Compact"/>
        <w:numPr>
          <w:ilvl w:val="0"/>
          <w:numId w:val="1003"/>
        </w:numPr>
      </w:pPr>
      <w:r>
        <w:t xml:space="preserve">broadening retail adoption,</w:t>
      </w:r>
    </w:p>
    <w:p>
      <w:pPr>
        <w:pStyle w:val="Compact"/>
        <w:numPr>
          <w:ilvl w:val="0"/>
          <w:numId w:val="1003"/>
        </w:numPr>
      </w:pPr>
      <w:r>
        <w:t xml:space="preserve">or a more event- and volatility-dependent surge.</w:t>
      </w:r>
    </w:p>
    <w:p>
      <w:pPr>
        <w:pStyle w:val="FirstParagraph"/>
      </w:pPr>
      <w:r>
        <w:t xml:space="preserve">The more management emphasizes breadth, repeat participation, and Global Trading Hours adoption, the more credible the long-term earnings-power argument becomes.</w:t>
      </w:r>
    </w:p>
    <w:bookmarkEnd w:id="15"/>
    <w:bookmarkStart w:id="16" w:name="X944248915c14f6937ac2b6f7dd5d69d8b9611bd"/>
    <w:p>
      <w:pPr>
        <w:pStyle w:val="Heading3"/>
      </w:pPr>
      <w:r>
        <w:t xml:space="preserve">3. Cash/spot, European clearing, and FX should provide meaningful secondary support</w:t>
      </w:r>
    </w:p>
    <w:p>
      <w:pPr>
        <w:pStyle w:val="FirstParagraph"/>
      </w:pPr>
      <w:r>
        <w:t xml:space="preserve">The derivative result will dominate, but the quarter appears broad-based: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Global FX:</w:t>
      </w:r>
      <w:r>
        <w:t xml:space="preserve"> </w:t>
      </w:r>
      <w:r>
        <w:t xml:space="preserve">June ADNV was</w:t>
      </w:r>
      <w:r>
        <w:t xml:space="preserve"> </w:t>
      </w:r>
      <w:r>
        <w:rPr>
          <w:b/>
          <w:bCs/>
        </w:rPr>
        <w:t xml:space="preserve">$64.3 billion</w:t>
      </w:r>
      <w:r>
        <w:t xml:space="preserve">, up 25.5% year over year; year-to-date ADNV was up 21.2%.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Cboe Clear Europe:</w:t>
      </w:r>
      <w:r>
        <w:t xml:space="preserve"> </w:t>
      </w:r>
      <w:r>
        <w:t xml:space="preserve">June cleared trades rose 30.5% year over year and net settlements rose 30.2%.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Australian equities:</w:t>
      </w:r>
      <w:r>
        <w:t xml:space="preserve"> </w:t>
      </w:r>
      <w:r>
        <w:t xml:space="preserve">June ADNV increased 22.5% year over year. (</w:t>
      </w:r>
      <w:hyperlink r:id="rId12">
        <w:r>
          <w:rPr>
            <w:rStyle w:val="Hyperlink"/>
          </w:rPr>
          <w:t xml:space="preserve">ir.cboe.com</w:t>
        </w:r>
      </w:hyperlink>
      <w:r>
        <w:t xml:space="preserve">)</w:t>
      </w:r>
    </w:p>
    <w:p>
      <w:pPr>
        <w:pStyle w:val="FirstParagraph"/>
      </w:pPr>
      <w:r>
        <w:t xml:space="preserve">In 1Q26, Cboe reported record net revenue across every principal operating segment: Options, North American Equities, Europe/APAC, and Global FX. That broad strength matters because it reduces reliance on a single volatility-driven derivatives quarter.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what-is-already-embedded-in-expectations"/>
    <w:p>
      <w:pPr>
        <w:pStyle w:val="Heading2"/>
      </w:pPr>
      <w:r>
        <w:t xml:space="preserve">What is already embedded in expectations</w:t>
      </w:r>
    </w:p>
    <w:p>
      <w:pPr>
        <w:pStyle w:val="FirstParagraph"/>
      </w:pPr>
      <w:r>
        <w:t xml:space="preserve">Cboe’s share price closed July 30 at</w:t>
      </w:r>
      <w:r>
        <w:t xml:space="preserve"> </w:t>
      </w:r>
      <w:r>
        <w:rPr>
          <w:b/>
          <w:bCs/>
        </w:rPr>
        <w:t xml:space="preserve">$296.56</w:t>
      </w:r>
      <w:r>
        <w:t xml:space="preserve">, up approximately</w:t>
      </w:r>
      <w:r>
        <w:t xml:space="preserve"> </w:t>
      </w:r>
      <w:r>
        <w:rPr>
          <w:b/>
          <w:bCs/>
        </w:rPr>
        <w:t xml:space="preserve">18% year to date</w:t>
      </w:r>
      <w:r>
        <w:t xml:space="preserve">, although it remains below its May 2026 peak. The stock has recovered sharply from its late-June low, suggesting investors have already recognized the favorable Q2 volume data.</w:t>
      </w:r>
    </w:p>
    <w:p>
      <w:pPr>
        <w:pStyle w:val="BodyText"/>
      </w:pPr>
      <w:r>
        <w:t xml:space="preserve">That makes the post-print reaction likely to hinge on</w:t>
      </w:r>
      <w:r>
        <w:t xml:space="preserve"> </w:t>
      </w:r>
      <w:r>
        <w:rPr>
          <w:b/>
          <w:bCs/>
        </w:rPr>
        <w:t xml:space="preserve">forward indicators</w:t>
      </w:r>
      <w:r>
        <w:t xml:space="preserve">, not the backward-looking headline alone:</w:t>
      </w:r>
    </w:p>
    <w:p>
      <w:pPr>
        <w:pStyle w:val="Compact"/>
        <w:numPr>
          <w:ilvl w:val="0"/>
          <w:numId w:val="1005"/>
        </w:numPr>
      </w:pPr>
      <w:r>
        <w:t xml:space="preserve">Does management</w:t>
      </w:r>
      <w:r>
        <w:t xml:space="preserve"> </w:t>
      </w:r>
      <w:r>
        <w:rPr>
          <w:b/>
          <w:bCs/>
        </w:rPr>
        <w:t xml:space="preserve">reaffirm or raise</w:t>
      </w:r>
      <w:r>
        <w:t xml:space="preserve"> </w:t>
      </w:r>
      <w:r>
        <w:t xml:space="preserve">the FY26 organic net-revenue-growth outlook of</w:t>
      </w:r>
      <w:r>
        <w:t xml:space="preserve"> </w:t>
      </w:r>
      <w:r>
        <w:rPr>
          <w:b/>
          <w:bCs/>
        </w:rPr>
        <w:t xml:space="preserve">low double digits to mid-teens</w:t>
      </w:r>
      <w:r>
        <w:t xml:space="preserve">?</w:t>
      </w:r>
    </w:p>
    <w:p>
      <w:pPr>
        <w:pStyle w:val="Compact"/>
        <w:numPr>
          <w:ilvl w:val="0"/>
          <w:numId w:val="1005"/>
        </w:numPr>
      </w:pPr>
      <w:r>
        <w:t xml:space="preserve">Does it maintain the</w:t>
      </w:r>
      <w:r>
        <w:t xml:space="preserve"> </w:t>
      </w:r>
      <m:oMath>
        <m:r>
          <m:t>838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853 million</w:t>
      </w:r>
      <w:r>
        <w:t xml:space="preserve"> </w:t>
      </w:r>
      <w:r>
        <w:t xml:space="preserve">adjusted operating-expense framework?</w:t>
      </w:r>
    </w:p>
    <w:p>
      <w:pPr>
        <w:pStyle w:val="Compact"/>
        <w:numPr>
          <w:ilvl w:val="0"/>
          <w:numId w:val="1005"/>
        </w:numPr>
      </w:pPr>
      <w:r>
        <w:t xml:space="preserve">Does Data Vantage growth remain at the company’s “low double-digit” full-year target?</w:t>
      </w:r>
    </w:p>
    <w:p>
      <w:pPr>
        <w:pStyle w:val="Compact"/>
        <w:numPr>
          <w:ilvl w:val="0"/>
          <w:numId w:val="1005"/>
        </w:numPr>
      </w:pPr>
      <w:r>
        <w:t xml:space="preserve">Is total-options RPC holding near the preliminary</w:t>
      </w:r>
      <w:r>
        <w:t xml:space="preserve"> </w:t>
      </w:r>
      <w:r>
        <w:rPr>
          <w:b/>
          <w:bCs/>
        </w:rPr>
        <w:t xml:space="preserve">$0.317</w:t>
      </w:r>
      <w:r>
        <w:t xml:space="preserve"> </w:t>
      </w:r>
      <w:r>
        <w:t xml:space="preserve">projection?</w:t>
      </w:r>
    </w:p>
    <w:p>
      <w:pPr>
        <w:pStyle w:val="Compact"/>
        <w:numPr>
          <w:ilvl w:val="0"/>
          <w:numId w:val="1005"/>
        </w:numPr>
      </w:pPr>
      <w:r>
        <w:t xml:space="preserve">Are volumes holding up into July, especially in SPX and 0DTE?</w:t>
      </w:r>
    </w:p>
    <w:p>
      <w:pPr>
        <w:pStyle w:val="FirstParagraph"/>
      </w:pPr>
      <w:r>
        <w:t xml:space="preserve">In 1Q26, Cboe delivered $728.9 million of net revenue, 29% growth, and adjusted EPS of $3.70, while raising its FY26 organic-growth target and lowering expense guidance. That creates a challenging comparison in terms of investor sentiment: a good 2Q print may not be enough if management’s outlook becomes more cautious.</w:t>
      </w:r>
    </w:p>
    <w:p>
      <w:r>
        <w:pict>
          <v:rect style="width:0;height:1.5pt" o:hralign="center" o:hrstd="t" o:hr="t"/>
        </w:pict>
      </w:r>
    </w:p>
    <w:bookmarkEnd w:id="18"/>
    <w:bookmarkStart w:id="22" w:name="guidance-is-the-real-catalyst"/>
    <w:p>
      <w:pPr>
        <w:pStyle w:val="Heading2"/>
      </w:pPr>
      <w:r>
        <w:t xml:space="preserve">Guidance is the real catalyst</w:t>
      </w:r>
    </w:p>
    <w:bookmarkStart w:id="19" w:name="base-case-reaffirmation-is-likely"/>
    <w:p>
      <w:pPr>
        <w:pStyle w:val="Heading3"/>
      </w:pPr>
      <w:r>
        <w:t xml:space="preserve">Base case: reaffirmation is likely</w:t>
      </w:r>
    </w:p>
    <w:p>
      <w:pPr>
        <w:pStyle w:val="FirstParagraph"/>
      </w:pPr>
      <w:r>
        <w:t xml:space="preserve">The company’s current full-year framework calls for: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Organic total net-revenue growth:</w:t>
      </w:r>
      <w:r>
        <w:t xml:space="preserve"> </w:t>
      </w:r>
      <w:r>
        <w:t xml:space="preserve">low double digits to mid-teens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Data Vantage organic net-revenue growth:</w:t>
      </w:r>
      <w:r>
        <w:t xml:space="preserve"> </w:t>
      </w:r>
      <w:r>
        <w:t xml:space="preserve">low double digits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Adjusted operating expense:</w:t>
      </w:r>
      <w:r>
        <w:t xml:space="preserve"> </w:t>
      </w:r>
      <m:oMath>
        <m:r>
          <m:t>838</m:t>
        </m:r>
        <m:r>
          <m:t>M</m:t>
        </m:r>
        <m:r>
          <m:rPr>
            <m:sty m:val="p"/>
          </m:rPr>
          <m:t>–</m:t>
        </m:r>
      </m:oMath>
      <w:r>
        <w:t xml:space="preserve">853M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Adjusted tax rate:</w:t>
      </w:r>
      <w:r>
        <w:t xml:space="preserve"> </w:t>
      </w:r>
      <w:r>
        <w:t xml:space="preserve">27.5%–29.5%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Capex:</w:t>
      </w:r>
      <w:r>
        <w:t xml:space="preserve"> </w:t>
      </w:r>
      <m:oMath>
        <m:r>
          <m:t>73</m:t>
        </m:r>
        <m:r>
          <m:t>M</m:t>
        </m:r>
        <m:r>
          <m:rPr>
            <m:sty m:val="p"/>
          </m:rPr>
          <m:t>–</m:t>
        </m:r>
      </m:oMath>
      <w:r>
        <w:t xml:space="preserve">83M</w:t>
      </w:r>
    </w:p>
    <w:p>
      <w:pPr>
        <w:pStyle w:val="FirstParagraph"/>
      </w:pPr>
      <w:r>
        <w:t xml:space="preserve">A simple reaffirmation would be defensible given the 1H strength, but it may be viewed as conservative if management sees a normalizing volume environment in the back half.</w:t>
      </w:r>
    </w:p>
    <w:bookmarkEnd w:id="19"/>
    <w:bookmarkStart w:id="20" w:name="Xa7a12082668e95516f609313e4787917ff666c6"/>
    <w:p>
      <w:pPr>
        <w:pStyle w:val="Heading3"/>
      </w:pPr>
      <w:r>
        <w:t xml:space="preserve">Bull case: another organic-growth increase</w:t>
      </w:r>
    </w:p>
    <w:p>
      <w:pPr>
        <w:pStyle w:val="FirstParagraph"/>
      </w:pPr>
      <w:r>
        <w:t xml:space="preserve">A raise would likely require confidence in three areas:</w:t>
      </w:r>
    </w:p>
    <w:p>
      <w:pPr>
        <w:pStyle w:val="Compact"/>
        <w:numPr>
          <w:ilvl w:val="0"/>
          <w:numId w:val="1007"/>
        </w:numPr>
      </w:pPr>
      <w:r>
        <w:t xml:space="preserve">Persistently elevated index-options and SPX 0DTE activity;</w:t>
      </w:r>
    </w:p>
    <w:p>
      <w:pPr>
        <w:pStyle w:val="Compact"/>
        <w:numPr>
          <w:ilvl w:val="0"/>
          <w:numId w:val="1007"/>
        </w:numPr>
      </w:pPr>
      <w:r>
        <w:t xml:space="preserve">Continued Data Vantage growth and access/capacity fee strength; and</w:t>
      </w:r>
    </w:p>
    <w:p>
      <w:pPr>
        <w:pStyle w:val="Compact"/>
        <w:numPr>
          <w:ilvl w:val="0"/>
          <w:numId w:val="1007"/>
        </w:numPr>
      </w:pPr>
      <w:r>
        <w:t xml:space="preserve">Limited drag from divestitures, non-core wind-downs, and the timing of reinvestment initiatives.</w:t>
      </w:r>
    </w:p>
    <w:p>
      <w:pPr>
        <w:pStyle w:val="FirstParagraph"/>
      </w:pPr>
      <w:r>
        <w:t xml:space="preserve">The bull-case argument is strengthened by the structural depth of options demand: Cboe’s own industry data points to growth across index, ETF, retail, institutional block, and FLEX options activity—not merely a narrow burst in a handful of retail names. (</w:t>
      </w:r>
      <w:hyperlink r:id="rId14">
        <w:r>
          <w:rPr>
            <w:rStyle w:val="Hyperlink"/>
          </w:rPr>
          <w:t xml:space="preserve">cboe.com</w:t>
        </w:r>
      </w:hyperlink>
      <w:r>
        <w:t xml:space="preserve">)</w:t>
      </w:r>
    </w:p>
    <w:bookmarkEnd w:id="20"/>
    <w:bookmarkStart w:id="21" w:name="Xe3d77e4173558a4d11beb139233adba69ade488"/>
    <w:p>
      <w:pPr>
        <w:pStyle w:val="Heading3"/>
      </w:pPr>
      <w:r>
        <w:t xml:space="preserve">Bear case: guidance stays unchanged despite the beat</w:t>
      </w:r>
    </w:p>
    <w:p>
      <w:pPr>
        <w:pStyle w:val="FirstParagraph"/>
      </w:pPr>
      <w:r>
        <w:t xml:space="preserve">The risk is that Cboe frames 2Q as a period of extraordinary market activity rather than a run-rate. In that scenario, even an EPS/revenue beat could be offset by:</w:t>
      </w:r>
    </w:p>
    <w:p>
      <w:pPr>
        <w:pStyle w:val="Compact"/>
        <w:numPr>
          <w:ilvl w:val="0"/>
          <w:numId w:val="1008"/>
        </w:numPr>
      </w:pPr>
      <w:r>
        <w:t xml:space="preserve">no increase to the FY26 outlook,</w:t>
      </w:r>
    </w:p>
    <w:p>
      <w:pPr>
        <w:pStyle w:val="Compact"/>
        <w:numPr>
          <w:ilvl w:val="0"/>
          <w:numId w:val="1008"/>
        </w:numPr>
      </w:pPr>
      <w:r>
        <w:t xml:space="preserve">caution on second-half volume normalization,</w:t>
      </w:r>
    </w:p>
    <w:p>
      <w:pPr>
        <w:pStyle w:val="Compact"/>
        <w:numPr>
          <w:ilvl w:val="0"/>
          <w:numId w:val="1008"/>
        </w:numPr>
      </w:pPr>
      <w:r>
        <w:t xml:space="preserve">weaker-than-expected Data Vantage growth,</w:t>
      </w:r>
    </w:p>
    <w:p>
      <w:pPr>
        <w:pStyle w:val="Compact"/>
        <w:numPr>
          <w:ilvl w:val="0"/>
          <w:numId w:val="1008"/>
        </w:numPr>
      </w:pPr>
      <w:r>
        <w:t xml:space="preserve">lower transaction monetization from mix or pricing,</w:t>
      </w:r>
    </w:p>
    <w:p>
      <w:pPr>
        <w:pStyle w:val="Compact"/>
        <w:numPr>
          <w:ilvl w:val="0"/>
          <w:numId w:val="1008"/>
        </w:numPr>
      </w:pPr>
      <w:r>
        <w:t xml:space="preserve">or more meaningful strategic realignment costs.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9" w:name="key-items-to-watch-on-the-call"/>
    <w:p>
      <w:pPr>
        <w:pStyle w:val="Heading2"/>
      </w:pPr>
      <w:r>
        <w:t xml:space="preserve">Key items to watch on the call</w:t>
      </w:r>
    </w:p>
    <w:bookmarkStart w:id="23" w:name="Xa6deff805a502880ae1239e2eebed2f785a2722"/>
    <w:p>
      <w:pPr>
        <w:pStyle w:val="Heading3"/>
      </w:pPr>
      <w:r>
        <w:t xml:space="preserve">1. Options RPC and mix</w:t>
      </w:r>
    </w:p>
    <w:p>
      <w:pPr>
        <w:pStyle w:val="FirstParagraph"/>
      </w:pPr>
      <w:r>
        <w:t xml:space="preserve">The preliminary 2Q total-options RPC projection of</w:t>
      </w:r>
      <w:r>
        <w:t xml:space="preserve"> </w:t>
      </w:r>
      <w:r>
        <w:rPr>
          <w:b/>
          <w:bCs/>
        </w:rPr>
        <w:t xml:space="preserve">$0.317</w:t>
      </w:r>
      <w:r>
        <w:t xml:space="preserve"> </w:t>
      </w:r>
      <w:r>
        <w:t xml:space="preserve">is the most important near-term monetization indicator. Investors should distinguish between:</w:t>
      </w:r>
    </w:p>
    <w:p>
      <w:pPr>
        <w:pStyle w:val="Compact"/>
        <w:numPr>
          <w:ilvl w:val="0"/>
          <w:numId w:val="1009"/>
        </w:numPr>
      </w:pPr>
      <w:r>
        <w:t xml:space="preserve">a volume-led beat with stable economics, and</w:t>
      </w:r>
    </w:p>
    <w:p>
      <w:pPr>
        <w:pStyle w:val="Compact"/>
        <w:numPr>
          <w:ilvl w:val="0"/>
          <w:numId w:val="1009"/>
        </w:numPr>
      </w:pPr>
      <w:r>
        <w:t xml:space="preserve">a stronger outcome driven by a higher index-options mix or better-than-expected RPC.</w:t>
      </w:r>
    </w:p>
    <w:p>
      <w:pPr>
        <w:pStyle w:val="FirstParagraph"/>
      </w:pPr>
      <w:r>
        <w:t xml:space="preserve">A final figure materially below $0.317 would be a negative surprise even if ADV remains excellent. (</w:t>
      </w:r>
      <w:hyperlink r:id="rId12">
        <w:r>
          <w:rPr>
            <w:rStyle w:val="Hyperlink"/>
          </w:rPr>
          <w:t xml:space="preserve">ir.cboe.com</w:t>
        </w:r>
      </w:hyperlink>
      <w:r>
        <w:t xml:space="preserve">)</w:t>
      </w:r>
    </w:p>
    <w:bookmarkEnd w:id="23"/>
    <w:bookmarkStart w:id="24" w:name="X73865395b617837c45b66f4fa26cefd547516bb"/>
    <w:p>
      <w:pPr>
        <w:pStyle w:val="Heading3"/>
      </w:pPr>
      <w:r>
        <w:t xml:space="preserve">2. Data Vantage growth</w:t>
      </w:r>
    </w:p>
    <w:p>
      <w:pPr>
        <w:pStyle w:val="FirstParagraph"/>
      </w:pPr>
      <w:r>
        <w:t xml:space="preserve">Data, access, and capacity revenues are a crucial recurring-revenue offset to trading cyclicality. In 1Q, Data Vantage net revenue grew 19% year over year. Sustaining low-double-digit organic growth would validate the higher-quality portion of the earnings story.</w:t>
      </w:r>
    </w:p>
    <w:bookmarkEnd w:id="24"/>
    <w:bookmarkStart w:id="25" w:name="X3236e743cbddcb757b47b2d5a530be3f91db051"/>
    <w:p>
      <w:pPr>
        <w:pStyle w:val="Heading3"/>
      </w:pPr>
      <w:r>
        <w:t xml:space="preserve">3. Margin conversion and strategic-realization savings</w:t>
      </w:r>
    </w:p>
    <w:p>
      <w:pPr>
        <w:pStyle w:val="FirstParagraph"/>
      </w:pPr>
      <w:r>
        <w:t xml:space="preserve">Cboe’s 1Q strategic realignment included a planned workforce reduction of approximately 20% and an expected</w:t>
      </w:r>
      <w:r>
        <w:t xml:space="preserve"> </w:t>
      </w:r>
      <m:oMath>
        <m:r>
          <m:t>20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25 million of FY26 savings. Investors should look for:</w:t>
      </w:r>
    </w:p>
    <w:p>
      <w:pPr>
        <w:pStyle w:val="Compact"/>
        <w:numPr>
          <w:ilvl w:val="0"/>
          <w:numId w:val="1010"/>
        </w:numPr>
      </w:pPr>
      <w:r>
        <w:t xml:space="preserve">realization timing,</w:t>
      </w:r>
    </w:p>
    <w:p>
      <w:pPr>
        <w:pStyle w:val="Compact"/>
        <w:numPr>
          <w:ilvl w:val="0"/>
          <w:numId w:val="1010"/>
        </w:numPr>
      </w:pPr>
      <w:r>
        <w:t xml:space="preserve">incremental restructuring costs,</w:t>
      </w:r>
    </w:p>
    <w:p>
      <w:pPr>
        <w:pStyle w:val="Compact"/>
        <w:numPr>
          <w:ilvl w:val="0"/>
          <w:numId w:val="1010"/>
        </w:numPr>
      </w:pPr>
      <w:r>
        <w:t xml:space="preserve">reinvestment needs in clearing, event markets, tokenization, sales, and product development, and</w:t>
      </w:r>
    </w:p>
    <w:p>
      <w:pPr>
        <w:pStyle w:val="Compact"/>
        <w:numPr>
          <w:ilvl w:val="0"/>
          <w:numId w:val="1010"/>
        </w:numPr>
      </w:pPr>
      <w:r>
        <w:t xml:space="preserve">whether the expense range can remain intact amid strong variable compensation.</w:t>
      </w:r>
    </w:p>
    <w:bookmarkEnd w:id="25"/>
    <w:bookmarkStart w:id="27" w:name="X1ac64b5cda7a9b546c41511f86bfa8c4df003c1"/>
    <w:p>
      <w:pPr>
        <w:pStyle w:val="Heading3"/>
      </w:pPr>
      <w:r>
        <w:t xml:space="preserve">4. Cboe Predicts: strategic option value, not a 2026 earnings driver</w:t>
      </w:r>
    </w:p>
    <w:p>
      <w:pPr>
        <w:pStyle w:val="FirstParagraph"/>
      </w:pPr>
      <w:r>
        <w:t xml:space="preserve">Cboe launched</w:t>
      </w:r>
      <w:r>
        <w:t xml:space="preserve"> </w:t>
      </w:r>
      <w:r>
        <w:rPr>
          <w:b/>
          <w:bCs/>
        </w:rPr>
        <w:t xml:space="preserve">Cboe Predicts</w:t>
      </w:r>
      <w:r>
        <w:t xml:space="preserve"> </w:t>
      </w:r>
      <w:r>
        <w:t xml:space="preserve">in June, starting with binary XSP-based contracts available through Interactive Brokers, with Charles Schwab expected to follow. The initiative is strategically relevant because it extends Cboe’s SPX ecosystem and targets outcome-based retail demand, but it is too early to be material to 2Q financials. (</w:t>
      </w:r>
      <w:hyperlink r:id="rId26">
        <w:r>
          <w:rPr>
            <w:rStyle w:val="Hyperlink"/>
          </w:rPr>
          <w:t xml:space="preserve">ir.cboe.com</w:t>
        </w:r>
      </w:hyperlink>
      <w:r>
        <w:t xml:space="preserve">)</w:t>
      </w:r>
    </w:p>
    <w:p>
      <w:pPr>
        <w:pStyle w:val="BodyText"/>
      </w:pPr>
      <w:r>
        <w:t xml:space="preserve">The useful call questions are about distribution, liquidity formation, regulatory positioning, product cadence, and the economics over time—not near-term revenue contribution.</w:t>
      </w:r>
    </w:p>
    <w:bookmarkEnd w:id="27"/>
    <w:bookmarkStart w:id="28" w:name="Xb1a8b0516c914a7a5506ad6f095d84eb94c09d0"/>
    <w:p>
      <w:pPr>
        <w:pStyle w:val="Heading3"/>
      </w:pPr>
      <w:r>
        <w:t xml:space="preserve">5. Capital allocation and balance-sheet flexibility</w:t>
      </w:r>
    </w:p>
    <w:p>
      <w:pPr>
        <w:pStyle w:val="FirstParagraph"/>
      </w:pPr>
      <w:r>
        <w:t xml:space="preserve">Cboe ended 1Q with roughly $2.1 billion of cash and</w:t>
      </w:r>
      <w:r>
        <w:t xml:space="preserve"> </w:t>
      </w:r>
      <m:oMath>
        <m:r>
          <m:t>1.44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d</m:t>
        </m:r>
        <m:r>
          <m:t>e</m:t>
        </m:r>
        <m:r>
          <m:t>b</m:t>
        </m:r>
        <m:r>
          <m:t>t</m:t>
        </m:r>
        <m:r>
          <m:rPr>
            <m:sty m:val="p"/>
          </m:rPr>
          <m:t>.</m:t>
        </m:r>
        <m:r>
          <m:t>I</m:t>
        </m:r>
        <m:r>
          <m:t>t</m:t>
        </m:r>
        <m:r>
          <m:t>a</m:t>
        </m:r>
        <m:r>
          <m:t>l</m:t>
        </m:r>
        <m:r>
          <m:t>s</m:t>
        </m:r>
        <m:r>
          <m:t>o</m:t>
        </m:r>
        <m:r>
          <m:t>r</m:t>
        </m:r>
        <m:r>
          <m:t>e</m:t>
        </m:r>
        <m:r>
          <m:t>c</m:t>
        </m:r>
        <m:r>
          <m:t>e</m:t>
        </m:r>
        <m:r>
          <m:t>n</m:t>
        </m:r>
        <m:r>
          <m:t>t</m:t>
        </m:r>
        <m:r>
          <m:t>l</m:t>
        </m:r>
        <m:r>
          <m:t>y</m:t>
        </m:r>
        <m:r>
          <m:t>e</m:t>
        </m:r>
        <m:r>
          <m:t>s</m:t>
        </m:r>
        <m:r>
          <m:t>t</m:t>
        </m:r>
        <m:r>
          <m:t>a</m:t>
        </m:r>
        <m:r>
          <m:t>b</m:t>
        </m:r>
        <m:r>
          <m:t>l</m:t>
        </m:r>
        <m:r>
          <m:t>i</m:t>
        </m:r>
        <m:r>
          <m:t>s</m:t>
        </m:r>
        <m:r>
          <m:t>h</m:t>
        </m:r>
        <m:r>
          <m:t>e</m:t>
        </m:r>
        <m:r>
          <m:t>d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400 million five-year revolving credit facility**, expandable by up to $200 million subject to lender agreement. The facility improves flexibility for clearing-related needs, capital returns, or strategic investment; it does not, by itself, signal an imminent acquisition.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0" w:name="scenario-framework"/>
    <w:p>
      <w:pPr>
        <w:pStyle w:val="Heading2"/>
      </w:pPr>
      <w:r>
        <w:t xml:space="preserve">Scenario framework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Scenario</w:t>
            </w:r>
          </w:p>
        </w:tc>
        <w:tc>
          <w:tcPr/>
          <w:p>
            <w:pPr>
              <w:pStyle w:val="Compact"/>
            </w:pPr>
            <w:r>
              <w:t xml:space="preserve">What the report looks like</w:t>
            </w:r>
          </w:p>
        </w:tc>
        <w:tc>
          <w:tcPr/>
          <w:p>
            <w:pPr>
              <w:pStyle w:val="Compact"/>
            </w:pPr>
            <w:r>
              <w:t xml:space="preserve">Likely investor reaction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Bull</w:t>
            </w:r>
          </w:p>
        </w:tc>
        <w:tc>
          <w:tcPr/>
          <w:p>
            <w:pPr>
              <w:pStyle w:val="Compact"/>
            </w:pPr>
            <w:r>
              <w:t xml:space="preserve">Clear EPS/revenue beat; strong Data Vantage; final options RPC at/above $0.317; guidance raised or tone notably more confident</w:t>
            </w:r>
          </w:p>
        </w:tc>
        <w:tc>
          <w:tcPr/>
          <w:p>
            <w:pPr>
              <w:pStyle w:val="Compact"/>
            </w:pPr>
            <w:r>
              <w:t xml:space="preserve">Shares move higher; investors underwrite a more durable earnings 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</w:p>
        </w:tc>
        <w:tc>
          <w:tcPr/>
          <w:p>
            <w:pPr>
              <w:pStyle w:val="Compact"/>
            </w:pPr>
            <w:r>
              <w:t xml:space="preserve">Meets or modestly beats; derivative strength broadly as disclosed; guidance reaffirmed</w:t>
            </w:r>
          </w:p>
        </w:tc>
        <w:tc>
          <w:tcPr/>
          <w:p>
            <w:pPr>
              <w:pStyle w:val="Compact"/>
            </w:pPr>
            <w:r>
              <w:t xml:space="preserve">Muted-to-positive response; stock reaction depends on 2H volume commentary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Bear</w:t>
            </w:r>
          </w:p>
        </w:tc>
        <w:tc>
          <w:tcPr/>
          <w:p>
            <w:pPr>
              <w:pStyle w:val="Compact"/>
            </w:pPr>
            <w:r>
              <w:t xml:space="preserve">Good headline result but weaker RPC, softer non-derivatives revenue, higher expenses, or cautious outlook</w:t>
            </w:r>
          </w:p>
        </w:tc>
        <w:tc>
          <w:tcPr/>
          <w:p>
            <w:pPr>
              <w:pStyle w:val="Compact"/>
            </w:pPr>
            <w:r>
              <w:t xml:space="preserve">Shares decline as investors de-rate the visibility of 2026–27 earnings power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0"/>
    <w:bookmarkStart w:id="3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Cboe appears positioned for another strong quarter, with the core numbers largely de-risked by record disclosed volume statistics.</w:t>
      </w:r>
      <w:r>
        <w:t xml:space="preserve"> </w:t>
      </w:r>
      <w:r>
        <w:t xml:space="preserve">The more consequential question is whether Q2 demonstrates that Cboe’s earnings power has structurally stepped higher through proprietary-index options, 0DTE adoption, Data Vantage, clearing, and operating leverage—or whether the quarter represents a favorable but less repeatable market-activity peak.</w:t>
      </w:r>
    </w:p>
    <w:p>
      <w:pPr>
        <w:pStyle w:val="BodyText"/>
      </w:pPr>
      <w:r>
        <w:t xml:space="preserve">For investors, the highest-value signals will be: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Final total-options RPC versus the $0.317 preliminary outlook;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Data Vantage growth and expense discipline;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Any revision to FY26 organic-growth or opex guidance;</w:t>
      </w:r>
      <w:r>
        <w:t xml:space="preserve"> </w:t>
      </w:r>
      <w:r>
        <w:t xml:space="preserve">and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Management’s characterization of July trends and second-half options activity.</w:t>
      </w:r>
    </w:p>
    <w:p>
      <w:pPr>
        <w:pStyle w:val="FirstParagraph"/>
      </w:pPr>
      <w:r>
        <w:rPr>
          <w:i/>
          <w:iCs/>
        </w:rPr>
        <w:t xml:space="preserve">This preview is for informational purposes only and is not investment advice.</w:t>
      </w:r>
    </w:p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ir.cboe.com/news/news-details/2026/Cboe-Global-Markets-Reports-Trading-Volume-for-June-2026/default.aspx" TargetMode="External" /><Relationship Type="http://schemas.openxmlformats.org/officeDocument/2006/relationships/hyperlink" Id="rId26" Target="https://ir.cboe.com/news/news-details/2026/Cboe-Introduces-Cboe-Predicts-Launching-First-Products-in-New-Prediction-Markets-Suite/default.aspx" TargetMode="External" /><Relationship Type="http://schemas.openxmlformats.org/officeDocument/2006/relationships/hyperlink" Id="rId14" Target="https://www.cboe.com/insights/posts/state-of-the-options-industry-options-market-continued-to-break-records-in-q-2-2026" TargetMode="External" /><Relationship Type="http://schemas.openxmlformats.org/officeDocument/2006/relationships/hyperlink" Id="rId9" Target="https://www.kiplinger.com/investing/stocks/17494/next-week-earnings-calendar-stoc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ir.cboe.com/news/news-details/2026/Cboe-Global-Markets-Reports-Trading-Volume-for-June-2026/default.aspx" TargetMode="External" /><Relationship Type="http://schemas.openxmlformats.org/officeDocument/2006/relationships/hyperlink" Id="rId26" Target="https://ir.cboe.com/news/news-details/2026/Cboe-Introduces-Cboe-Predicts-Launching-First-Products-in-New-Prediction-Markets-Suite/default.aspx" TargetMode="External" /><Relationship Type="http://schemas.openxmlformats.org/officeDocument/2006/relationships/hyperlink" Id="rId14" Target="https://www.cboe.com/insights/posts/state-of-the-options-industry-options-market-continued-to-break-records-in-q-2-2026" TargetMode="External" /><Relationship Type="http://schemas.openxmlformats.org/officeDocument/2006/relationships/hyperlink" Id="rId9" Target="https://www.kiplinger.com/investing/stocks/17494/next-week-earnings-calendar-stoc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2026-07-31T00:09:36Z</dcterms:created>
  <dcterms:modified xsi:type="dcterms:W3CDTF">2026-07-31T00:09:36Z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