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oe-earnings-predictions--2026-07-31"/>
    <w:p>
      <w:pPr>
        <w:pStyle w:val="Heading1"/>
      </w:pPr>
      <w:r>
        <w:t xml:space="preserve">CBOE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SPX Index Options ADV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~6,500K vs. cons 6,208K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Multi-Listed Options RPC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~$0.070 vs. cons $0.0643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~$3.65 vs. cons $3.484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Rev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~reaffirm 'low-DD to mid-teens' vs. cons $2,858M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 Opex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~reaffirm $838-853M vs. cons $844.9M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(FADE)</w:t>
            </w:r>
          </w:p>
        </w:tc>
        <w:tc>
          <w:tcPr/>
          <w:p>
            <w:pPr>
              <w:pStyle w:val="Compact"/>
            </w:pPr>
            <w:r>
              <w:t xml:space="preserve">FADE — beat absorbed by pre-run; reaffirmed guide doesn't move H2 estimates; short covering provides initial bid that fades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2026-08-02T02:00:51Z</dcterms:created>
  <dcterms:modified xsi:type="dcterms:W3CDTF">2026-08-02T02:00:51Z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