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Cboe Global Markets, Inc. (CBOE)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Cboe Global Markets, Inc.</w:t>
            </w:r>
          </w:p>
        </w:tc>
      </w:tr>
      <w:tr>
        <w:tc>
          <w:tcPr>
            <w:tcW w:type="dxa" w:w="4320"/>
          </w:tcPr>
          <w:p>
            <w:r>
              <w:rPr>
                <w:rFonts w:ascii="Calibri" w:hAnsi="Calibri"/>
                <w:b/>
                <w:sz w:val="22"/>
              </w:rPr>
              <w:t>Ticker</w:t>
            </w:r>
          </w:p>
        </w:tc>
        <w:tc>
          <w:tcPr>
            <w:tcW w:type="dxa" w:w="4320"/>
          </w:tcPr>
          <w:p>
            <w:r>
              <w:rPr>
                <w:rFonts w:ascii="Calibri" w:hAnsi="Calibri"/>
                <w:sz w:val="22"/>
              </w:rPr>
              <w:t>CBOE (Nasdaq)</w:t>
            </w:r>
          </w:p>
        </w:tc>
      </w:tr>
      <w:tr>
        <w:tc>
          <w:tcPr>
            <w:tcW w:type="dxa" w:w="4320"/>
          </w:tcPr>
          <w:p>
            <w:r>
              <w:rPr>
                <w:rFonts w:ascii="Calibri" w:hAnsi="Calibri"/>
                <w:b/>
                <w:sz w:val="22"/>
              </w:rPr>
              <w:t>Upcoming Earnings Date</w:t>
            </w:r>
          </w:p>
        </w:tc>
        <w:tc>
          <w:tcPr>
            <w:tcW w:type="dxa" w:w="4320"/>
          </w:tcPr>
          <w:p>
            <w:r>
              <w:rPr>
                <w:rFonts w:ascii="Calibri" w:hAnsi="Calibri"/>
                <w:sz w:val="22"/>
              </w:rPr>
              <w:t>August 1, 2026 (Q2 2026)</w:t>
            </w:r>
          </w:p>
        </w:tc>
      </w:tr>
      <w:tr>
        <w:tc>
          <w:tcPr>
            <w:tcW w:type="dxa" w:w="4320"/>
          </w:tcPr>
          <w:p>
            <w:r>
              <w:rPr>
                <w:rFonts w:ascii="Calibri" w:hAnsi="Calibri"/>
                <w:b/>
                <w:sz w:val="22"/>
              </w:rPr>
              <w:t>Last Earnings Date</w:t>
            </w:r>
          </w:p>
        </w:tc>
        <w:tc>
          <w:tcPr>
            <w:tcW w:type="dxa" w:w="4320"/>
          </w:tcPr>
          <w:p>
            <w:r>
              <w:rPr>
                <w:rFonts w:ascii="Calibri" w:hAnsi="Calibri"/>
                <w:sz w:val="22"/>
              </w:rPr>
              <w:t>May 1, 2026 (Q1 2026)</w:t>
            </w:r>
          </w:p>
        </w:tc>
      </w:tr>
      <w:tr>
        <w:tc>
          <w:tcPr>
            <w:tcW w:type="dxa" w:w="4320"/>
          </w:tcPr>
          <w:p>
            <w:r>
              <w:rPr>
                <w:rFonts w:ascii="Calibri" w:hAnsi="Calibri"/>
                <w:b/>
                <w:sz w:val="22"/>
              </w:rPr>
              <w:t>Prepared Date</w:t>
            </w:r>
          </w:p>
        </w:tc>
        <w:tc>
          <w:tcPr>
            <w:tcW w:type="dxa" w:w="4320"/>
          </w:tcPr>
          <w:p>
            <w:r>
              <w:rPr>
                <w:rFonts w:ascii="Calibri" w:hAnsi="Calibri"/>
                <w:sz w:val="22"/>
              </w:rPr>
              <w:t>July 30, 2026</w:t>
            </w:r>
          </w:p>
        </w:tc>
      </w:tr>
      <w:tr>
        <w:tc>
          <w:tcPr>
            <w:tcW w:type="dxa" w:w="4320"/>
          </w:tcPr>
          <w:p>
            <w:r>
              <w:rPr>
                <w:rFonts w:ascii="Calibri" w:hAnsi="Calibri"/>
                <w:b/>
                <w:sz w:val="22"/>
              </w:rPr>
              <w:t>Sector ETF Benchmark</w:t>
            </w:r>
          </w:p>
        </w:tc>
        <w:tc>
          <w:tcPr>
            <w:tcW w:type="dxa" w:w="4320"/>
          </w:tcPr>
          <w:p>
            <w:r>
              <w:rPr>
                <w:rFonts w:ascii="Calibri" w:hAnsi="Calibri"/>
                <w:sz w:val="22"/>
              </w:rPr>
              <w:t>XLF (Financial Select Sector SPDR)</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Q2 2026 is constructive but the bar is meaningfully higher than a quarter ago — consensus expects </w:t>
      </w:r>
      <w:r>
        <w:rPr>
          <w:rFonts w:ascii="Calibri" w:hAnsi="Calibri"/>
          <w:b/>
          <w:color w:val="525866"/>
          <w:sz w:val="22"/>
        </w:rPr>
        <w:t>$720.9M in net revenue (+22.7% YoY) and $3.48 in adjusted diluted EPS (+41.5% YoY)</w:t>
      </w:r>
      <w:r>
        <w:rPr>
          <w:rFonts w:ascii="Calibri" w:hAnsi="Calibri"/>
          <w:color w:val="525866"/>
          <w:sz w:val="22"/>
        </w:rPr>
        <w:t>, and the biggest swing factor is whether SPX index options ADV can sustain the record pace set in Q1 amid a more mixed volatility backdrop in Q2.</w:t>
      </w:r>
    </w:p>
    <w:p>
      <w:r>
        <w:rPr>
          <w:rFonts w:ascii="Calibri" w:hAnsi="Calibri"/>
          <w:color w:val="525866"/>
          <w:sz w:val="22"/>
        </w:rPr>
        <w:t xml:space="preserve">Heading into Q2 2026, the bar for CBOE is elevated but arguably achievable given the structural tailwinds confirmed by peers. Consensus sits at $720.9M net revenue and $3.48 adjusted EPS — both implying roughly 22–42% YoY growth — yet the Q1 2026 print ($728.9M revenue, $3.70 EPS) already cleared those hurdles, suggesting the street may be anchoring too conservatively to a post-Q1 mean-reversion. Management raised full-year organic revenue growth guidance to low-double-digit to mid-teens at the Q1 call and lowered opex guidance to $838–853M, a posture that remains confident and has not been walked back. Estimate revisions have moved modestly higher since the Q1 print (2Q revenue consensus up ~3.4% from the post-earnings baseline of $697.4M), tracking in the same direction as guidance but still leaving a potential cushion. The stock, however, has given back all of its post-Q1 earnings rally and then some — down roughly 9% since the May 1 print versus XLF up ~10% — driven by a sharp mid-June sell-off that appears linked to the SPGI licensing renewal overhang and broader multiple compression, meaning the stock is no longer pricing in a beat. The key wildcard is </w:t>
      </w:r>
      <w:r>
        <w:rPr>
          <w:rFonts w:ascii="Calibri" w:hAnsi="Calibri"/>
          <w:b/>
          <w:color w:val="525866"/>
          <w:sz w:val="22"/>
        </w:rPr>
        <w:t>SPX options ADV trajectory in Q2</w:t>
      </w:r>
      <w:r>
        <w:rPr>
          <w:rFonts w:ascii="Calibri" w:hAnsi="Calibri"/>
          <w:color w:val="525866"/>
          <w:sz w:val="22"/>
        </w:rPr>
        <w:t>: peers (NDAQ, CME) confirmed record industry options volumes and record index options volumes in Q2, which is a strong read-through for CBOE's highest-margin revenue line, but any RPC compression from mix shift could offset volume upside.</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moderately achievable bar</w:t>
      </w:r>
      <w:r>
        <w:rPr>
          <w:rFonts w:ascii="Calibri" w:hAnsi="Calibri"/>
          <w:color w:val="525866"/>
          <w:sz w:val="22"/>
        </w:rPr>
        <w:t xml:space="preserve"> — Q2 2026 estimates for both revenue and EPS sit below Q1 actuals, implying mean-reversion the market may be over-discounting. </w:t>
      </w:r>
      <w:r>
        <w:rPr>
          <w:rFonts w:ascii="Calibri" w:hAnsi="Calibri"/>
          <w:b/>
          <w:color w:val="525866"/>
          <w:sz w:val="22"/>
        </w:rPr>
        <w:t>SPX index options ADV</w:t>
      </w:r>
      <w:r>
        <w:rPr>
          <w:rFonts w:ascii="Calibri" w:hAnsi="Calibri"/>
          <w:color w:val="525866"/>
          <w:sz w:val="22"/>
        </w:rPr>
        <w:t xml:space="preserve"> is the bigger swing factor given its direct link to the highest-margin revenue line; RPC on multi-listed options is the secondary risk given recent mix-shift dynamics.</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Net Revenue ($M)</w:t>
            </w:r>
          </w:p>
        </w:tc>
        <w:tc>
          <w:tcPr>
            <w:tcW w:type="dxa" w:w="1234"/>
          </w:tcPr>
          <w:p>
            <w:r>
              <w:rPr>
                <w:rFonts w:ascii="Calibri" w:hAnsi="Calibri"/>
                <w:sz w:val="22"/>
              </w:rPr>
              <w:t>$728.9M</w:t>
            </w:r>
          </w:p>
        </w:tc>
        <w:tc>
          <w:tcPr>
            <w:tcW w:type="dxa" w:w="1234"/>
          </w:tcPr>
          <w:p>
            <w:r>
              <w:rPr>
                <w:rFonts w:ascii="Calibri" w:hAnsi="Calibri"/>
                <w:sz w:val="22"/>
              </w:rPr>
              <w:t>$587.3M</w:t>
            </w:r>
          </w:p>
        </w:tc>
        <w:tc>
          <w:tcPr>
            <w:tcW w:type="dxa" w:w="1234"/>
          </w:tcPr>
          <w:p>
            <w:r>
              <w:rPr>
                <w:rFonts w:ascii="Calibri" w:hAnsi="Calibri"/>
                <w:sz w:val="22"/>
              </w:rPr>
              <w:t>$720.9M</w:t>
            </w:r>
          </w:p>
        </w:tc>
        <w:tc>
          <w:tcPr>
            <w:tcW w:type="dxa" w:w="1234"/>
          </w:tcPr>
          <w:p>
            <w:r>
              <w:rPr>
                <w:rFonts w:ascii="Calibri" w:hAnsi="Calibri"/>
                <w:sz w:val="22"/>
              </w:rPr>
              <w:t>+22.8%</w:t>
            </w:r>
          </w:p>
        </w:tc>
        <w:tc>
          <w:tcPr>
            <w:tcW w:type="dxa" w:w="1234"/>
          </w:tcPr>
          <w:p>
            <w:r>
              <w:rPr>
                <w:rFonts w:ascii="Calibri" w:hAnsi="Calibri"/>
                <w:sz w:val="22"/>
              </w:rPr>
              <w:t>Low-DD to mid-teens organic growth (FY)</w:t>
            </w:r>
          </w:p>
        </w:tc>
        <w:tc>
          <w:tcPr>
            <w:tcW w:type="dxa" w:w="1234"/>
          </w:tcPr>
          <w:p>
            <w:r>
              <w:rPr>
                <w:rFonts w:ascii="Calibri" w:hAnsi="Calibri"/>
                <w:sz w:val="22"/>
              </w:rPr>
              <w:t>Tracking within range</w:t>
            </w:r>
          </w:p>
        </w:tc>
      </w:tr>
      <w:tr>
        <w:tc>
          <w:tcPr>
            <w:tcW w:type="dxa" w:w="1234"/>
          </w:tcPr>
          <w:p>
            <w:r>
              <w:rPr>
                <w:rFonts w:ascii="Calibri" w:hAnsi="Calibri"/>
                <w:sz w:val="22"/>
              </w:rPr>
              <w:t>Adj. Diluted EPS ($)</w:t>
            </w:r>
          </w:p>
        </w:tc>
        <w:tc>
          <w:tcPr>
            <w:tcW w:type="dxa" w:w="1234"/>
          </w:tcPr>
          <w:p>
            <w:r>
              <w:rPr>
                <w:rFonts w:ascii="Calibri" w:hAnsi="Calibri"/>
                <w:sz w:val="22"/>
              </w:rPr>
              <w:t>$3.70</w:t>
            </w:r>
          </w:p>
        </w:tc>
        <w:tc>
          <w:tcPr>
            <w:tcW w:type="dxa" w:w="1234"/>
          </w:tcPr>
          <w:p>
            <w:r>
              <w:rPr>
                <w:rFonts w:ascii="Calibri" w:hAnsi="Calibri"/>
                <w:sz w:val="22"/>
              </w:rPr>
              <w:t>$2.46</w:t>
            </w:r>
          </w:p>
        </w:tc>
        <w:tc>
          <w:tcPr>
            <w:tcW w:type="dxa" w:w="1234"/>
          </w:tcPr>
          <w:p>
            <w:r>
              <w:rPr>
                <w:rFonts w:ascii="Calibri" w:hAnsi="Calibri"/>
                <w:sz w:val="22"/>
              </w:rPr>
              <w:t>$3.48</w:t>
            </w:r>
          </w:p>
        </w:tc>
        <w:tc>
          <w:tcPr>
            <w:tcW w:type="dxa" w:w="1234"/>
          </w:tcPr>
          <w:p>
            <w:r>
              <w:rPr>
                <w:rFonts w:ascii="Calibri" w:hAnsi="Calibri"/>
                <w:sz w:val="22"/>
              </w:rPr>
              <w:t>+41.5%</w:t>
            </w:r>
          </w:p>
        </w:tc>
        <w:tc>
          <w:tcPr>
            <w:tcW w:type="dxa" w:w="1234"/>
          </w:tcPr>
          <w:p>
            <w:r>
              <w:rPr>
                <w:rFonts w:ascii="Calibri" w:hAnsi="Calibri"/>
                <w:sz w:val="22"/>
              </w:rPr>
              <w:t>No explicit EPS guidance</w:t>
            </w:r>
          </w:p>
        </w:tc>
        <w:tc>
          <w:tcPr>
            <w:tcW w:type="dxa" w:w="1234"/>
          </w:tcPr>
          <w:p>
            <w:r>
              <w:rPr>
                <w:rFonts w:ascii="Calibri" w:hAnsi="Calibri"/>
                <w:sz w:val="22"/>
              </w:rPr>
              <w:t>N/A</w:t>
            </w:r>
          </w:p>
        </w:tc>
      </w:tr>
      <w:tr>
        <w:tc>
          <w:tcPr>
            <w:tcW w:type="dxa" w:w="1234"/>
          </w:tcPr>
          <w:p>
            <w:r>
              <w:rPr>
                <w:rFonts w:ascii="Calibri" w:hAnsi="Calibri"/>
                <w:sz w:val="22"/>
              </w:rPr>
              <w:t>Net Revenue — Options ($M)</w:t>
            </w:r>
          </w:p>
        </w:tc>
        <w:tc>
          <w:tcPr>
            <w:tcW w:type="dxa" w:w="1234"/>
          </w:tcPr>
          <w:p>
            <w:r>
              <w:rPr>
                <w:rFonts w:ascii="Calibri" w:hAnsi="Calibri"/>
                <w:sz w:val="22"/>
              </w:rPr>
              <w:t>$467.6M</w:t>
            </w:r>
          </w:p>
        </w:tc>
        <w:tc>
          <w:tcPr>
            <w:tcW w:type="dxa" w:w="1234"/>
          </w:tcPr>
          <w:p>
            <w:r>
              <w:rPr>
                <w:rFonts w:ascii="Calibri" w:hAnsi="Calibri"/>
                <w:sz w:val="22"/>
              </w:rPr>
              <w:t>$364.8M</w:t>
            </w:r>
          </w:p>
        </w:tc>
        <w:tc>
          <w:tcPr>
            <w:tcW w:type="dxa" w:w="1234"/>
          </w:tcPr>
          <w:p>
            <w:r>
              <w:rPr>
                <w:rFonts w:ascii="Calibri" w:hAnsi="Calibri"/>
                <w:sz w:val="22"/>
              </w:rPr>
              <w:t>$469.9M</w:t>
            </w:r>
          </w:p>
        </w:tc>
        <w:tc>
          <w:tcPr>
            <w:tcW w:type="dxa" w:w="1234"/>
          </w:tcPr>
          <w:p>
            <w:r>
              <w:rPr>
                <w:rFonts w:ascii="Calibri" w:hAnsi="Calibri"/>
                <w:sz w:val="22"/>
              </w:rPr>
              <w:t>+28.8%</w:t>
            </w:r>
          </w:p>
        </w:tc>
        <w:tc>
          <w:tcPr>
            <w:tcW w:type="dxa" w:w="1234"/>
          </w:tcPr>
          <w:p>
            <w:r>
              <w:rPr>
                <w:rFonts w:ascii="Calibri" w:hAnsi="Calibri"/>
                <w:sz w:val="22"/>
              </w:rPr>
              <w:t>No segment guidance</w:t>
            </w:r>
          </w:p>
        </w:tc>
        <w:tc>
          <w:tcPr>
            <w:tcW w:type="dxa" w:w="1234"/>
          </w:tcPr>
          <w:p>
            <w:r>
              <w:rPr>
                <w:rFonts w:ascii="Calibri" w:hAnsi="Calibri"/>
                <w:sz w:val="22"/>
              </w:rPr>
              <w:t>N/A</w:t>
            </w:r>
          </w:p>
        </w:tc>
      </w:tr>
      <w:tr>
        <w:tc>
          <w:tcPr>
            <w:tcW w:type="dxa" w:w="1234"/>
          </w:tcPr>
          <w:p>
            <w:r>
              <w:rPr>
                <w:rFonts w:ascii="Calibri" w:hAnsi="Calibri"/>
                <w:sz w:val="22"/>
              </w:rPr>
              <w:t>Net Revenue — Data &amp; Access Solutions ($M)</w:t>
            </w:r>
          </w:p>
        </w:tc>
        <w:tc>
          <w:tcPr>
            <w:tcW w:type="dxa" w:w="1234"/>
          </w:tcPr>
          <w:p>
            <w:r>
              <w:rPr>
                <w:rFonts w:ascii="Calibri" w:hAnsi="Calibri"/>
                <w:sz w:val="22"/>
              </w:rPr>
              <w:t>$177.8M</w:t>
            </w:r>
          </w:p>
        </w:tc>
        <w:tc>
          <w:tcPr>
            <w:tcW w:type="dxa" w:w="1234"/>
          </w:tcPr>
          <w:p>
            <w:r>
              <w:rPr>
                <w:rFonts w:ascii="Calibri" w:hAnsi="Calibri"/>
                <w:sz w:val="22"/>
              </w:rPr>
              <w:t>$155.1M</w:t>
            </w:r>
          </w:p>
        </w:tc>
        <w:tc>
          <w:tcPr>
            <w:tcW w:type="dxa" w:w="1234"/>
          </w:tcPr>
          <w:p>
            <w:r>
              <w:rPr>
                <w:rFonts w:ascii="Calibri" w:hAnsi="Calibri"/>
                <w:sz w:val="22"/>
              </w:rPr>
              <w:t>$172.6M</w:t>
            </w:r>
          </w:p>
        </w:tc>
        <w:tc>
          <w:tcPr>
            <w:tcW w:type="dxa" w:w="1234"/>
          </w:tcPr>
          <w:p>
            <w:r>
              <w:rPr>
                <w:rFonts w:ascii="Calibri" w:hAnsi="Calibri"/>
                <w:sz w:val="22"/>
              </w:rPr>
              <w:t>+11.3%</w:t>
            </w:r>
          </w:p>
        </w:tc>
        <w:tc>
          <w:tcPr>
            <w:tcW w:type="dxa" w:w="1234"/>
          </w:tcPr>
          <w:p>
            <w:r>
              <w:rPr>
                <w:rFonts w:ascii="Calibri" w:hAnsi="Calibri"/>
                <w:sz w:val="22"/>
              </w:rPr>
              <w:t>Low-DD organic growth (FY)</w:t>
            </w:r>
          </w:p>
        </w:tc>
        <w:tc>
          <w:tcPr>
            <w:tcW w:type="dxa" w:w="1234"/>
          </w:tcPr>
          <w:p>
            <w:r>
              <w:rPr>
                <w:rFonts w:ascii="Calibri" w:hAnsi="Calibri"/>
                <w:sz w:val="22"/>
              </w:rPr>
              <w:t>Tracking within range</w:t>
            </w:r>
          </w:p>
        </w:tc>
      </w:tr>
      <w:tr>
        <w:tc>
          <w:tcPr>
            <w:tcW w:type="dxa" w:w="1234"/>
          </w:tcPr>
          <w:p>
            <w:r>
              <w:rPr>
                <w:rFonts w:ascii="Calibri" w:hAnsi="Calibri"/>
                <w:sz w:val="22"/>
              </w:rPr>
              <w:t>Index Options ADV (K contracts)</w:t>
            </w:r>
          </w:p>
        </w:tc>
        <w:tc>
          <w:tcPr>
            <w:tcW w:type="dxa" w:w="1234"/>
          </w:tcPr>
          <w:p>
            <w:r>
              <w:rPr>
                <w:rFonts w:ascii="Calibri" w:hAnsi="Calibri"/>
                <w:sz w:val="22"/>
              </w:rPr>
              <w:t>6,136K</w:t>
            </w:r>
          </w:p>
        </w:tc>
        <w:tc>
          <w:tcPr>
            <w:tcW w:type="dxa" w:w="1234"/>
          </w:tcPr>
          <w:p>
            <w:r>
              <w:rPr>
                <w:rFonts w:ascii="Calibri" w:hAnsi="Calibri"/>
                <w:sz w:val="22"/>
              </w:rPr>
              <w:t>4,686K</w:t>
            </w:r>
          </w:p>
        </w:tc>
        <w:tc>
          <w:tcPr>
            <w:tcW w:type="dxa" w:w="1234"/>
          </w:tcPr>
          <w:p>
            <w:r>
              <w:rPr>
                <w:rFonts w:ascii="Calibri" w:hAnsi="Calibri"/>
                <w:sz w:val="22"/>
              </w:rPr>
              <w:t>6,208K</w:t>
            </w:r>
          </w:p>
        </w:tc>
        <w:tc>
          <w:tcPr>
            <w:tcW w:type="dxa" w:w="1234"/>
          </w:tcPr>
          <w:p>
            <w:r>
              <w:rPr>
                <w:rFonts w:ascii="Calibri" w:hAnsi="Calibri"/>
                <w:sz w:val="22"/>
              </w:rPr>
              <w:t>+32.5%</w:t>
            </w:r>
          </w:p>
        </w:tc>
        <w:tc>
          <w:tcPr>
            <w:tcW w:type="dxa" w:w="1234"/>
          </w:tcPr>
          <w:p>
            <w:r>
              <w:rPr>
                <w:rFonts w:ascii="Calibri" w:hAnsi="Calibri"/>
                <w:sz w:val="22"/>
              </w:rPr>
              <w:t>No specific ADV guidance</w:t>
            </w:r>
          </w:p>
        </w:tc>
        <w:tc>
          <w:tcPr>
            <w:tcW w:type="dxa" w:w="1234"/>
          </w:tcPr>
          <w:p>
            <w:r>
              <w:rPr>
                <w:rFonts w:ascii="Calibri" w:hAnsi="Calibri"/>
                <w:sz w:val="22"/>
              </w:rPr>
              <w:t>N/A</w:t>
            </w:r>
          </w:p>
        </w:tc>
      </w:tr>
      <w:tr>
        <w:tc>
          <w:tcPr>
            <w:tcW w:type="dxa" w:w="1234"/>
          </w:tcPr>
          <w:p>
            <w:r>
              <w:rPr>
                <w:rFonts w:ascii="Calibri" w:hAnsi="Calibri"/>
                <w:sz w:val="22"/>
              </w:rPr>
              <w:t>Index Options RPC ($)</w:t>
            </w:r>
          </w:p>
        </w:tc>
        <w:tc>
          <w:tcPr>
            <w:tcW w:type="dxa" w:w="1234"/>
          </w:tcPr>
          <w:p>
            <w:r>
              <w:rPr>
                <w:rFonts w:ascii="Calibri" w:hAnsi="Calibri"/>
                <w:sz w:val="22"/>
              </w:rPr>
              <w:t>$0.940</w:t>
            </w:r>
          </w:p>
        </w:tc>
        <w:tc>
          <w:tcPr>
            <w:tcW w:type="dxa" w:w="1234"/>
          </w:tcPr>
          <w:p>
            <w:r>
              <w:rPr>
                <w:rFonts w:ascii="Calibri" w:hAnsi="Calibri"/>
                <w:sz w:val="22"/>
              </w:rPr>
              <w:t>$0.923</w:t>
            </w:r>
          </w:p>
        </w:tc>
        <w:tc>
          <w:tcPr>
            <w:tcW w:type="dxa" w:w="1234"/>
          </w:tcPr>
          <w:p>
            <w:r>
              <w:rPr>
                <w:rFonts w:ascii="Calibri" w:hAnsi="Calibri"/>
                <w:sz w:val="22"/>
              </w:rPr>
              <w:t>$0.953</w:t>
            </w:r>
          </w:p>
        </w:tc>
        <w:tc>
          <w:tcPr>
            <w:tcW w:type="dxa" w:w="1234"/>
          </w:tcPr>
          <w:p>
            <w:r>
              <w:rPr>
                <w:rFonts w:ascii="Calibri" w:hAnsi="Calibri"/>
                <w:sz w:val="22"/>
              </w:rPr>
              <w:t>+3.3%</w:t>
            </w:r>
          </w:p>
        </w:tc>
        <w:tc>
          <w:tcPr>
            <w:tcW w:type="dxa" w:w="1234"/>
          </w:tcPr>
          <w:p>
            <w:r>
              <w:rPr>
                <w:rFonts w:ascii="Calibri" w:hAnsi="Calibri"/>
                <w:sz w:val="22"/>
              </w:rPr>
              <w:t>No specific RPC guidance</w:t>
            </w:r>
          </w:p>
        </w:tc>
        <w:tc>
          <w:tcPr>
            <w:tcW w:type="dxa" w:w="1234"/>
          </w:tcPr>
          <w:p>
            <w:r>
              <w:rPr>
                <w:rFonts w:ascii="Calibri" w:hAnsi="Calibri"/>
                <w:sz w:val="22"/>
              </w:rPr>
              <w:t>N/A</w:t>
            </w:r>
          </w:p>
        </w:tc>
      </w:tr>
      <w:tr>
        <w:tc>
          <w:tcPr>
            <w:tcW w:type="dxa" w:w="1234"/>
          </w:tcPr>
          <w:p>
            <w:r>
              <w:rPr>
                <w:rFonts w:ascii="Calibri" w:hAnsi="Calibri"/>
                <w:sz w:val="22"/>
              </w:rPr>
              <w:t>Multi-Listed Options ADV (K contracts)</w:t>
            </w:r>
          </w:p>
        </w:tc>
        <w:tc>
          <w:tcPr>
            <w:tcW w:type="dxa" w:w="1234"/>
          </w:tcPr>
          <w:p>
            <w:r>
              <w:rPr>
                <w:rFonts w:ascii="Calibri" w:hAnsi="Calibri"/>
                <w:sz w:val="22"/>
              </w:rPr>
              <w:t>13,940K</w:t>
            </w:r>
          </w:p>
        </w:tc>
        <w:tc>
          <w:tcPr>
            <w:tcW w:type="dxa" w:w="1234"/>
          </w:tcPr>
          <w:p>
            <w:r>
              <w:rPr>
                <w:rFonts w:ascii="Calibri" w:hAnsi="Calibri"/>
                <w:sz w:val="22"/>
              </w:rPr>
              <w:t>12,615K</w:t>
            </w:r>
          </w:p>
        </w:tc>
        <w:tc>
          <w:tcPr>
            <w:tcW w:type="dxa" w:w="1234"/>
          </w:tcPr>
          <w:p>
            <w:r>
              <w:rPr>
                <w:rFonts w:ascii="Calibri" w:hAnsi="Calibri"/>
                <w:sz w:val="22"/>
              </w:rPr>
              <w:t>15,654K</w:t>
            </w:r>
          </w:p>
        </w:tc>
        <w:tc>
          <w:tcPr>
            <w:tcW w:type="dxa" w:w="1234"/>
          </w:tcPr>
          <w:p>
            <w:r>
              <w:rPr>
                <w:rFonts w:ascii="Calibri" w:hAnsi="Calibri"/>
                <w:sz w:val="22"/>
              </w:rPr>
              <w:t>+24.1%</w:t>
            </w:r>
          </w:p>
        </w:tc>
        <w:tc>
          <w:tcPr>
            <w:tcW w:type="dxa" w:w="1234"/>
          </w:tcPr>
          <w:p>
            <w:r>
              <w:rPr>
                <w:rFonts w:ascii="Calibri" w:hAnsi="Calibri"/>
                <w:sz w:val="22"/>
              </w:rPr>
              <w:t>No specific ADV guidance</w:t>
            </w:r>
          </w:p>
        </w:tc>
        <w:tc>
          <w:tcPr>
            <w:tcW w:type="dxa" w:w="1234"/>
          </w:tcPr>
          <w:p>
            <w:r>
              <w:rPr>
                <w:rFonts w:ascii="Calibri" w:hAnsi="Calibri"/>
                <w:sz w:val="22"/>
              </w:rPr>
              <w:t>N/A</w:t>
            </w:r>
          </w:p>
        </w:tc>
      </w:tr>
      <w:tr>
        <w:tc>
          <w:tcPr>
            <w:tcW w:type="dxa" w:w="1234"/>
          </w:tcPr>
          <w:p>
            <w:r>
              <w:rPr>
                <w:rFonts w:ascii="Calibri" w:hAnsi="Calibri"/>
                <w:sz w:val="22"/>
              </w:rPr>
              <w:t>Multi-Listed Options RPC ($)</w:t>
            </w:r>
          </w:p>
        </w:tc>
        <w:tc>
          <w:tcPr>
            <w:tcW w:type="dxa" w:w="1234"/>
          </w:tcPr>
          <w:p>
            <w:r>
              <w:rPr>
                <w:rFonts w:ascii="Calibri" w:hAnsi="Calibri"/>
                <w:sz w:val="22"/>
              </w:rPr>
              <w:t>$0.080</w:t>
            </w:r>
          </w:p>
        </w:tc>
        <w:tc>
          <w:tcPr>
            <w:tcW w:type="dxa" w:w="1234"/>
          </w:tcPr>
          <w:p>
            <w:r>
              <w:rPr>
                <w:rFonts w:ascii="Calibri" w:hAnsi="Calibri"/>
                <w:sz w:val="22"/>
              </w:rPr>
              <w:t>$0.068</w:t>
            </w:r>
          </w:p>
        </w:tc>
        <w:tc>
          <w:tcPr>
            <w:tcW w:type="dxa" w:w="1234"/>
          </w:tcPr>
          <w:p>
            <w:r>
              <w:rPr>
                <w:rFonts w:ascii="Calibri" w:hAnsi="Calibri"/>
                <w:sz w:val="22"/>
              </w:rPr>
              <w:t>$0.064</w:t>
            </w:r>
          </w:p>
        </w:tc>
        <w:tc>
          <w:tcPr>
            <w:tcW w:type="dxa" w:w="1234"/>
          </w:tcPr>
          <w:p>
            <w:r>
              <w:rPr>
                <w:rFonts w:ascii="Calibri" w:hAnsi="Calibri"/>
                <w:sz w:val="22"/>
              </w:rPr>
              <w:t>-5.9%</w:t>
            </w:r>
          </w:p>
        </w:tc>
        <w:tc>
          <w:tcPr>
            <w:tcW w:type="dxa" w:w="1234"/>
          </w:tcPr>
          <w:p>
            <w:r>
              <w:rPr>
                <w:rFonts w:ascii="Calibri" w:hAnsi="Calibri"/>
                <w:sz w:val="22"/>
              </w:rPr>
              <w:t>No specific RPC guidance</w:t>
            </w:r>
          </w:p>
        </w:tc>
        <w:tc>
          <w:tcPr>
            <w:tcW w:type="dxa" w:w="1234"/>
          </w:tcPr>
          <w:p>
            <w:r>
              <w:rPr>
                <w:rFonts w:ascii="Calibri" w:hAnsi="Calibri"/>
                <w:sz w:val="22"/>
              </w:rPr>
              <w:t>N/A</w:t>
            </w:r>
          </w:p>
        </w:tc>
      </w:tr>
      <w:tr>
        <w:tc>
          <w:tcPr>
            <w:tcW w:type="dxa" w:w="1234"/>
          </w:tcPr>
          <w:p>
            <w:r>
              <w:rPr>
                <w:rFonts w:ascii="Calibri" w:hAnsi="Calibri"/>
                <w:sz w:val="22"/>
              </w:rPr>
              <w:t>Adj. Operating EBITDA ($M)</w:t>
            </w:r>
          </w:p>
        </w:tc>
        <w:tc>
          <w:tcPr>
            <w:tcW w:type="dxa" w:w="1234"/>
          </w:tcPr>
          <w:p>
            <w:r>
              <w:rPr>
                <w:rFonts w:ascii="Calibri" w:hAnsi="Calibri"/>
                <w:sz w:val="22"/>
              </w:rPr>
              <w:t>$544.6M</w:t>
            </w:r>
          </w:p>
        </w:tc>
        <w:tc>
          <w:tcPr>
            <w:tcW w:type="dxa" w:w="1234"/>
          </w:tcPr>
          <w:p>
            <w:r>
              <w:rPr>
                <w:rFonts w:ascii="Calibri" w:hAnsi="Calibri"/>
                <w:sz w:val="22"/>
              </w:rPr>
              <w:t>$382.3M</w:t>
            </w:r>
          </w:p>
        </w:tc>
        <w:tc>
          <w:tcPr>
            <w:tcW w:type="dxa" w:w="1234"/>
          </w:tcPr>
          <w:p>
            <w:r>
              <w:rPr>
                <w:rFonts w:ascii="Calibri" w:hAnsi="Calibri"/>
                <w:sz w:val="22"/>
              </w:rPr>
              <w:t>$521.8M</w:t>
            </w:r>
          </w:p>
        </w:tc>
        <w:tc>
          <w:tcPr>
            <w:tcW w:type="dxa" w:w="1234"/>
          </w:tcPr>
          <w:p>
            <w:r>
              <w:rPr>
                <w:rFonts w:ascii="Calibri" w:hAnsi="Calibri"/>
                <w:sz w:val="22"/>
              </w:rPr>
              <w:t>+36.5%</w:t>
            </w:r>
          </w:p>
        </w:tc>
        <w:tc>
          <w:tcPr>
            <w:tcW w:type="dxa" w:w="1234"/>
          </w:tcPr>
          <w:p>
            <w:r>
              <w:rPr>
                <w:rFonts w:ascii="Calibri" w:hAnsi="Calibri"/>
                <w:sz w:val="22"/>
              </w:rPr>
              <w:t>Opex $838–853M (FY)</w:t>
            </w:r>
          </w:p>
        </w:tc>
        <w:tc>
          <w:tcPr>
            <w:tcW w:type="dxa" w:w="1234"/>
          </w:tcPr>
          <w:p>
            <w:r>
              <w:rPr>
                <w:rFonts w:ascii="Calibri" w:hAnsi="Calibri"/>
                <w:sz w:val="22"/>
              </w:rPr>
              <w:t>Tracking within range</w:t>
            </w:r>
          </w:p>
        </w:tc>
      </w:tr>
      <w:tr>
        <w:tc>
          <w:tcPr>
            <w:tcW w:type="dxa" w:w="1234"/>
          </w:tcPr>
          <w:p>
            <w:r>
              <w:rPr>
                <w:rFonts w:ascii="Calibri" w:hAnsi="Calibri"/>
                <w:sz w:val="22"/>
              </w:rPr>
              <w:t>Adj. Operating Expenses ($M)</w:t>
            </w:r>
          </w:p>
        </w:tc>
        <w:tc>
          <w:tcPr>
            <w:tcW w:type="dxa" w:w="1234"/>
          </w:tcPr>
          <w:p>
            <w:r>
              <w:rPr>
                <w:rFonts w:ascii="Calibri" w:hAnsi="Calibri"/>
                <w:sz w:val="22"/>
              </w:rPr>
              <w:t>$200.9M</w:t>
            </w:r>
          </w:p>
        </w:tc>
        <w:tc>
          <w:tcPr>
            <w:tcW w:type="dxa" w:w="1234"/>
          </w:tcPr>
          <w:p>
            <w:r>
              <w:rPr>
                <w:rFonts w:ascii="Calibri" w:hAnsi="Calibri"/>
                <w:sz w:val="22"/>
              </w:rPr>
              <w:t>$213.3M</w:t>
            </w:r>
          </w:p>
        </w:tc>
        <w:tc>
          <w:tcPr>
            <w:tcW w:type="dxa" w:w="1234"/>
          </w:tcPr>
          <w:p>
            <w:r>
              <w:rPr>
                <w:rFonts w:ascii="Calibri" w:hAnsi="Calibri"/>
                <w:sz w:val="22"/>
              </w:rPr>
              <w:t>$212.2M</w:t>
            </w:r>
          </w:p>
        </w:tc>
        <w:tc>
          <w:tcPr>
            <w:tcW w:type="dxa" w:w="1234"/>
          </w:tcPr>
          <w:p>
            <w:r>
              <w:rPr>
                <w:rFonts w:ascii="Calibri" w:hAnsi="Calibri"/>
                <w:sz w:val="22"/>
              </w:rPr>
              <w:t>-0.5%</w:t>
            </w:r>
          </w:p>
        </w:tc>
        <w:tc>
          <w:tcPr>
            <w:tcW w:type="dxa" w:w="1234"/>
          </w:tcPr>
          <w:p>
            <w:r>
              <w:rPr>
                <w:rFonts w:ascii="Calibri" w:hAnsi="Calibri"/>
                <w:sz w:val="22"/>
              </w:rPr>
              <w:t>$838–853M FY (implies ~$210M/qtr)</w:t>
            </w:r>
          </w:p>
        </w:tc>
        <w:tc>
          <w:tcPr>
            <w:tcW w:type="dxa" w:w="1234"/>
          </w:tcPr>
          <w:p>
            <w:r>
              <w:rPr>
                <w:rFonts w:ascii="Calibri" w:hAnsi="Calibri"/>
                <w:sz w:val="22"/>
              </w:rPr>
              <w:t>~+1% above midpoint</w:t>
            </w:r>
          </w:p>
        </w:tc>
      </w:tr>
    </w:tbl>
    <w:p>
      <w:r>
        <w:rPr>
          <w:rFonts w:ascii="Calibri" w:hAnsi="Calibri"/>
          <w:i/>
          <w:color w:val="525866"/>
          <w:sz w:val="22"/>
        </w:rPr>
        <w:t>Source: Visible Alpha Consensus and Actuals Data. All consensus figures as of July 30, 2026.</w:t>
      </w:r>
    </w:p>
    <w:p>
      <w:pPr>
        <w:pStyle w:val="Heading3"/>
      </w:pPr>
      <w:r>
        <w:rPr>
          <w:rFonts w:ascii="Calibri" w:hAnsi="Calibri"/>
          <w:b/>
          <w:color w:val="3B4259"/>
          <w:sz w:val="24"/>
        </w:rPr>
        <w:t>Table 2 — Beat/Miss History: Last 8 Quarters (Top 2 KPIs)</w:t>
      </w:r>
    </w:p>
    <w:p>
      <w:r>
        <w:rPr>
          <w:rFonts w:ascii="Calibri" w:hAnsi="Calibri"/>
          <w:b/>
          <w:color w:val="525866"/>
          <w:sz w:val="22"/>
        </w:rPr>
        <w:t>Top 2 KPIs: (1) Net Revenue | (2) Adjusted Diluted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Net Revenue</w:t>
            </w:r>
          </w:p>
        </w:tc>
        <w:tc>
          <w:tcPr>
            <w:tcW w:type="dxa" w:w="1440"/>
          </w:tcPr>
          <w:p>
            <w:r>
              <w:rPr>
                <w:rFonts w:ascii="Calibri" w:hAnsi="Calibri"/>
                <w:sz w:val="22"/>
              </w:rPr>
              <w:t>$728.9M</w:t>
            </w:r>
          </w:p>
        </w:tc>
        <w:tc>
          <w:tcPr>
            <w:tcW w:type="dxa" w:w="1440"/>
          </w:tcPr>
          <w:p>
            <w:r>
              <w:rPr>
                <w:rFonts w:ascii="Calibri" w:hAnsi="Calibri"/>
                <w:sz w:val="22"/>
              </w:rPr>
              <w:t>$711.8M</w:t>
            </w:r>
          </w:p>
        </w:tc>
        <w:tc>
          <w:tcPr>
            <w:tcW w:type="dxa" w:w="1440"/>
          </w:tcPr>
          <w:p>
            <w:r>
              <w:rPr>
                <w:rFonts w:ascii="Calibri" w:hAnsi="Calibri"/>
                <w:b/>
                <w:color w:val="30A46C"/>
                <w:sz w:val="22"/>
              </w:rPr>
              <w:t>+2.4%</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Adj. Diluted EPS</w:t>
            </w:r>
          </w:p>
        </w:tc>
        <w:tc>
          <w:tcPr>
            <w:tcW w:type="dxa" w:w="1440"/>
          </w:tcPr>
          <w:p>
            <w:r>
              <w:rPr>
                <w:rFonts w:ascii="Calibri" w:hAnsi="Calibri"/>
                <w:sz w:val="22"/>
              </w:rPr>
              <w:t>$3.70</w:t>
            </w:r>
          </w:p>
        </w:tc>
        <w:tc>
          <w:tcPr>
            <w:tcW w:type="dxa" w:w="1440"/>
          </w:tcPr>
          <w:p>
            <w:r>
              <w:rPr>
                <w:rFonts w:ascii="Calibri" w:hAnsi="Calibri"/>
                <w:sz w:val="22"/>
              </w:rPr>
              <w:t>$3.40</w:t>
            </w:r>
          </w:p>
        </w:tc>
        <w:tc>
          <w:tcPr>
            <w:tcW w:type="dxa" w:w="1440"/>
          </w:tcPr>
          <w:p>
            <w:r>
              <w:rPr>
                <w:rFonts w:ascii="Calibri" w:hAnsi="Calibri"/>
                <w:b/>
                <w:color w:val="30A46C"/>
                <w:sz w:val="22"/>
              </w:rPr>
              <w:t>+8.9%</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Net Revenue</w:t>
            </w:r>
          </w:p>
        </w:tc>
        <w:tc>
          <w:tcPr>
            <w:tcW w:type="dxa" w:w="1440"/>
          </w:tcPr>
          <w:p>
            <w:r>
              <w:rPr>
                <w:rFonts w:ascii="Calibri" w:hAnsi="Calibri"/>
                <w:sz w:val="22"/>
              </w:rPr>
              <w:t>$671.1M</w:t>
            </w:r>
          </w:p>
        </w:tc>
        <w:tc>
          <w:tcPr>
            <w:tcW w:type="dxa" w:w="1440"/>
          </w:tcPr>
          <w:p>
            <w:r>
              <w:rPr>
                <w:rFonts w:ascii="Calibri" w:hAnsi="Calibri"/>
                <w:sz w:val="22"/>
              </w:rPr>
              <w:t>$664.4M</w:t>
            </w:r>
          </w:p>
        </w:tc>
        <w:tc>
          <w:tcPr>
            <w:tcW w:type="dxa" w:w="1440"/>
          </w:tcPr>
          <w:p>
            <w:r>
              <w:rPr>
                <w:rFonts w:ascii="Calibri" w:hAnsi="Calibri"/>
                <w:b/>
                <w:color w:val="30A46C"/>
                <w:sz w:val="22"/>
              </w:rPr>
              <w:t>+1.0%</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Adj. Diluted EPS</w:t>
            </w:r>
          </w:p>
        </w:tc>
        <w:tc>
          <w:tcPr>
            <w:tcW w:type="dxa" w:w="1440"/>
          </w:tcPr>
          <w:p>
            <w:r>
              <w:rPr>
                <w:rFonts w:ascii="Calibri" w:hAnsi="Calibri"/>
                <w:sz w:val="22"/>
              </w:rPr>
              <w:t>$3.06</w:t>
            </w:r>
          </w:p>
        </w:tc>
        <w:tc>
          <w:tcPr>
            <w:tcW w:type="dxa" w:w="1440"/>
          </w:tcPr>
          <w:p>
            <w:r>
              <w:rPr>
                <w:rFonts w:ascii="Calibri" w:hAnsi="Calibri"/>
                <w:sz w:val="22"/>
              </w:rPr>
              <w:t>$2.96</w:t>
            </w:r>
          </w:p>
        </w:tc>
        <w:tc>
          <w:tcPr>
            <w:tcW w:type="dxa" w:w="1440"/>
          </w:tcPr>
          <w:p>
            <w:r>
              <w:rPr>
                <w:rFonts w:ascii="Calibri" w:hAnsi="Calibri"/>
                <w:b/>
                <w:color w:val="30A46C"/>
                <w:sz w:val="22"/>
              </w:rPr>
              <w:t>+3.5%</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Net Revenue</w:t>
            </w:r>
          </w:p>
        </w:tc>
        <w:tc>
          <w:tcPr>
            <w:tcW w:type="dxa" w:w="1440"/>
          </w:tcPr>
          <w:p>
            <w:r>
              <w:rPr>
                <w:rFonts w:ascii="Calibri" w:hAnsi="Calibri"/>
                <w:sz w:val="22"/>
              </w:rPr>
              <w:t>$605.5M</w:t>
            </w:r>
          </w:p>
        </w:tc>
        <w:tc>
          <w:tcPr>
            <w:tcW w:type="dxa" w:w="1440"/>
          </w:tcPr>
          <w:p>
            <w:r>
              <w:rPr>
                <w:rFonts w:ascii="Calibri" w:hAnsi="Calibri"/>
                <w:sz w:val="22"/>
              </w:rPr>
              <w:t>$594.4M</w:t>
            </w:r>
          </w:p>
        </w:tc>
        <w:tc>
          <w:tcPr>
            <w:tcW w:type="dxa" w:w="1440"/>
          </w:tcPr>
          <w:p>
            <w:r>
              <w:rPr>
                <w:rFonts w:ascii="Calibri" w:hAnsi="Calibri"/>
                <w:b/>
                <w:color w:val="30A46C"/>
                <w:sz w:val="22"/>
              </w:rPr>
              <w:t>+1.9%</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Adj. Diluted EPS</w:t>
            </w:r>
          </w:p>
        </w:tc>
        <w:tc>
          <w:tcPr>
            <w:tcW w:type="dxa" w:w="1440"/>
          </w:tcPr>
          <w:p>
            <w:r>
              <w:rPr>
                <w:rFonts w:ascii="Calibri" w:hAnsi="Calibri"/>
                <w:sz w:val="22"/>
              </w:rPr>
              <w:t>$2.67</w:t>
            </w:r>
          </w:p>
        </w:tc>
        <w:tc>
          <w:tcPr>
            <w:tcW w:type="dxa" w:w="1440"/>
          </w:tcPr>
          <w:p>
            <w:r>
              <w:rPr>
                <w:rFonts w:ascii="Calibri" w:hAnsi="Calibri"/>
                <w:sz w:val="22"/>
              </w:rPr>
              <w:t>$2.53</w:t>
            </w:r>
          </w:p>
        </w:tc>
        <w:tc>
          <w:tcPr>
            <w:tcW w:type="dxa" w:w="1440"/>
          </w:tcPr>
          <w:p>
            <w:r>
              <w:rPr>
                <w:rFonts w:ascii="Calibri" w:hAnsi="Calibri"/>
                <w:b/>
                <w:color w:val="30A46C"/>
                <w:sz w:val="22"/>
              </w:rPr>
              <w:t>+5.5%</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Net Revenue</w:t>
            </w:r>
          </w:p>
        </w:tc>
        <w:tc>
          <w:tcPr>
            <w:tcW w:type="dxa" w:w="1440"/>
          </w:tcPr>
          <w:p>
            <w:r>
              <w:rPr>
                <w:rFonts w:ascii="Calibri" w:hAnsi="Calibri"/>
                <w:sz w:val="22"/>
              </w:rPr>
              <w:t>$587.3M</w:t>
            </w:r>
          </w:p>
        </w:tc>
        <w:tc>
          <w:tcPr>
            <w:tcW w:type="dxa" w:w="1440"/>
          </w:tcPr>
          <w:p>
            <w:r>
              <w:rPr>
                <w:rFonts w:ascii="Calibri" w:hAnsi="Calibri"/>
                <w:sz w:val="22"/>
              </w:rPr>
              <w:t>$575.9M</w:t>
            </w:r>
          </w:p>
        </w:tc>
        <w:tc>
          <w:tcPr>
            <w:tcW w:type="dxa" w:w="1440"/>
          </w:tcPr>
          <w:p>
            <w:r>
              <w:rPr>
                <w:rFonts w:ascii="Calibri" w:hAnsi="Calibri"/>
                <w:b/>
                <w:color w:val="30A46C"/>
                <w:sz w:val="22"/>
              </w:rPr>
              <w:t>+2.0%</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Adj. Diluted EPS</w:t>
            </w:r>
          </w:p>
        </w:tc>
        <w:tc>
          <w:tcPr>
            <w:tcW w:type="dxa" w:w="1440"/>
          </w:tcPr>
          <w:p>
            <w:r>
              <w:rPr>
                <w:rFonts w:ascii="Calibri" w:hAnsi="Calibri"/>
                <w:sz w:val="22"/>
              </w:rPr>
              <w:t>$2.46</w:t>
            </w:r>
          </w:p>
        </w:tc>
        <w:tc>
          <w:tcPr>
            <w:tcW w:type="dxa" w:w="1440"/>
          </w:tcPr>
          <w:p>
            <w:r>
              <w:rPr>
                <w:rFonts w:ascii="Calibri" w:hAnsi="Calibri"/>
                <w:sz w:val="22"/>
              </w:rPr>
              <w:t>$2.44</w:t>
            </w:r>
          </w:p>
        </w:tc>
        <w:tc>
          <w:tcPr>
            <w:tcW w:type="dxa" w:w="1440"/>
          </w:tcPr>
          <w:p>
            <w:r>
              <w:rPr>
                <w:rFonts w:ascii="Calibri" w:hAnsi="Calibri"/>
                <w:b/>
                <w:color w:val="30A46C"/>
                <w:sz w:val="22"/>
              </w:rPr>
              <w:t>+0.8%</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Net Revenue</w:t>
            </w:r>
          </w:p>
        </w:tc>
        <w:tc>
          <w:tcPr>
            <w:tcW w:type="dxa" w:w="1440"/>
          </w:tcPr>
          <w:p>
            <w:r>
              <w:rPr>
                <w:rFonts w:ascii="Calibri" w:hAnsi="Calibri"/>
                <w:sz w:val="22"/>
              </w:rPr>
              <w:t>$565.2M</w:t>
            </w:r>
          </w:p>
        </w:tc>
        <w:tc>
          <w:tcPr>
            <w:tcW w:type="dxa" w:w="1440"/>
          </w:tcPr>
          <w:p>
            <w:r>
              <w:rPr>
                <w:rFonts w:ascii="Calibri" w:hAnsi="Calibri"/>
                <w:sz w:val="22"/>
              </w:rPr>
              <w:t>$563.5M</w:t>
            </w:r>
          </w:p>
        </w:tc>
        <w:tc>
          <w:tcPr>
            <w:tcW w:type="dxa" w:w="1440"/>
          </w:tcPr>
          <w:p>
            <w:r>
              <w:rPr>
                <w:rFonts w:ascii="Calibri" w:hAnsi="Calibri"/>
                <w:b/>
                <w:color w:val="30A46C"/>
                <w:sz w:val="22"/>
              </w:rPr>
              <w:t>+0.3%</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Adj. Diluted EPS</w:t>
            </w:r>
          </w:p>
        </w:tc>
        <w:tc>
          <w:tcPr>
            <w:tcW w:type="dxa" w:w="1440"/>
          </w:tcPr>
          <w:p>
            <w:r>
              <w:rPr>
                <w:rFonts w:ascii="Calibri" w:hAnsi="Calibri"/>
                <w:sz w:val="22"/>
              </w:rPr>
              <w:t>$2.50</w:t>
            </w:r>
          </w:p>
        </w:tc>
        <w:tc>
          <w:tcPr>
            <w:tcW w:type="dxa" w:w="1440"/>
          </w:tcPr>
          <w:p>
            <w:r>
              <w:rPr>
                <w:rFonts w:ascii="Calibri" w:hAnsi="Calibri"/>
                <w:sz w:val="22"/>
              </w:rPr>
              <w:t>$2.37</w:t>
            </w:r>
          </w:p>
        </w:tc>
        <w:tc>
          <w:tcPr>
            <w:tcW w:type="dxa" w:w="1440"/>
          </w:tcPr>
          <w:p>
            <w:r>
              <w:rPr>
                <w:rFonts w:ascii="Calibri" w:hAnsi="Calibri"/>
                <w:b/>
                <w:color w:val="30A46C"/>
                <w:sz w:val="22"/>
              </w:rPr>
              <w:t>+5.5%</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Net Revenue</w:t>
            </w:r>
          </w:p>
        </w:tc>
        <w:tc>
          <w:tcPr>
            <w:tcW w:type="dxa" w:w="1440"/>
          </w:tcPr>
          <w:p>
            <w:r>
              <w:rPr>
                <w:rFonts w:ascii="Calibri" w:hAnsi="Calibri"/>
                <w:sz w:val="22"/>
              </w:rPr>
              <w:t>$524.5M</w:t>
            </w:r>
          </w:p>
        </w:tc>
        <w:tc>
          <w:tcPr>
            <w:tcW w:type="dxa" w:w="1440"/>
          </w:tcPr>
          <w:p>
            <w:r>
              <w:rPr>
                <w:rFonts w:ascii="Calibri" w:hAnsi="Calibri"/>
                <w:sz w:val="22"/>
              </w:rPr>
              <w:t>$525.0M</w:t>
            </w:r>
          </w:p>
        </w:tc>
        <w:tc>
          <w:tcPr>
            <w:tcW w:type="dxa" w:w="1440"/>
          </w:tcPr>
          <w:p>
            <w:r>
              <w:rPr>
                <w:rFonts w:ascii="Calibri" w:hAnsi="Calibri"/>
                <w:b/>
                <w:color w:val="E5484D"/>
                <w:sz w:val="22"/>
              </w:rPr>
              <w:t>-0.1%</w:t>
            </w:r>
          </w:p>
        </w:tc>
        <w:tc>
          <w:tcPr>
            <w:tcW w:type="dxa" w:w="1440"/>
          </w:tcPr>
          <w:p>
            <w:r>
              <w:rPr>
                <w:rFonts w:ascii="Calibri" w:hAnsi="Calibri"/>
                <w:b/>
                <w:color w:val="E5484D"/>
                <w:sz w:val="22"/>
              </w:rPr>
              <w:t>MISS</w:t>
            </w:r>
          </w:p>
        </w:tc>
      </w:tr>
      <w:tr>
        <w:tc>
          <w:tcPr>
            <w:tcW w:type="dxa" w:w="1440"/>
          </w:tcPr>
          <w:p>
            <w:r>
              <w:rPr>
                <w:rFonts w:ascii="Calibri" w:hAnsi="Calibri"/>
                <w:sz w:val="22"/>
              </w:rPr>
              <w:t>Q4 2024</w:t>
            </w:r>
          </w:p>
        </w:tc>
        <w:tc>
          <w:tcPr>
            <w:tcW w:type="dxa" w:w="1440"/>
          </w:tcPr>
          <w:p>
            <w:r>
              <w:rPr>
                <w:rFonts w:ascii="Calibri" w:hAnsi="Calibri"/>
                <w:sz w:val="22"/>
              </w:rPr>
              <w:t>Adj. Diluted EPS</w:t>
            </w:r>
          </w:p>
        </w:tc>
        <w:tc>
          <w:tcPr>
            <w:tcW w:type="dxa" w:w="1440"/>
          </w:tcPr>
          <w:p>
            <w:r>
              <w:rPr>
                <w:rFonts w:ascii="Calibri" w:hAnsi="Calibri"/>
                <w:sz w:val="22"/>
              </w:rPr>
              <w:t>$2.10</w:t>
            </w:r>
          </w:p>
        </w:tc>
        <w:tc>
          <w:tcPr>
            <w:tcW w:type="dxa" w:w="1440"/>
          </w:tcPr>
          <w:p>
            <w:r>
              <w:rPr>
                <w:rFonts w:ascii="Calibri" w:hAnsi="Calibri"/>
                <w:sz w:val="22"/>
              </w:rPr>
              <w:t>$2.11</w:t>
            </w:r>
          </w:p>
        </w:tc>
        <w:tc>
          <w:tcPr>
            <w:tcW w:type="dxa" w:w="1440"/>
          </w:tcPr>
          <w:p>
            <w:r>
              <w:rPr>
                <w:rFonts w:ascii="Calibri" w:hAnsi="Calibri"/>
                <w:b/>
                <w:color w:val="E5484D"/>
                <w:sz w:val="22"/>
              </w:rPr>
              <w:t>-0.7%</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Net Revenue</w:t>
            </w:r>
          </w:p>
        </w:tc>
        <w:tc>
          <w:tcPr>
            <w:tcW w:type="dxa" w:w="1440"/>
          </w:tcPr>
          <w:p>
            <w:r>
              <w:rPr>
                <w:rFonts w:ascii="Calibri" w:hAnsi="Calibri"/>
                <w:sz w:val="22"/>
              </w:rPr>
              <w:t>$532.0M</w:t>
            </w:r>
          </w:p>
        </w:tc>
        <w:tc>
          <w:tcPr>
            <w:tcW w:type="dxa" w:w="1440"/>
          </w:tcPr>
          <w:p>
            <w:r>
              <w:rPr>
                <w:rFonts w:ascii="Calibri" w:hAnsi="Calibri"/>
                <w:sz w:val="22"/>
              </w:rPr>
              <w:t>$530.1M</w:t>
            </w:r>
          </w:p>
        </w:tc>
        <w:tc>
          <w:tcPr>
            <w:tcW w:type="dxa" w:w="1440"/>
          </w:tcPr>
          <w:p>
            <w:r>
              <w:rPr>
                <w:rFonts w:ascii="Calibri" w:hAnsi="Calibri"/>
                <w:b/>
                <w:color w:val="30A46C"/>
                <w:sz w:val="22"/>
              </w:rPr>
              <w:t>+0.4%</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Adj. Diluted EPS</w:t>
            </w:r>
          </w:p>
        </w:tc>
        <w:tc>
          <w:tcPr>
            <w:tcW w:type="dxa" w:w="1440"/>
          </w:tcPr>
          <w:p>
            <w:r>
              <w:rPr>
                <w:rFonts w:ascii="Calibri" w:hAnsi="Calibri"/>
                <w:sz w:val="22"/>
              </w:rPr>
              <w:t>$2.22</w:t>
            </w:r>
          </w:p>
        </w:tc>
        <w:tc>
          <w:tcPr>
            <w:tcW w:type="dxa" w:w="1440"/>
          </w:tcPr>
          <w:p>
            <w:r>
              <w:rPr>
                <w:rFonts w:ascii="Calibri" w:hAnsi="Calibri"/>
                <w:sz w:val="22"/>
              </w:rPr>
              <w:t>$2.19</w:t>
            </w:r>
          </w:p>
        </w:tc>
        <w:tc>
          <w:tcPr>
            <w:tcW w:type="dxa" w:w="1440"/>
          </w:tcPr>
          <w:p>
            <w:r>
              <w:rPr>
                <w:rFonts w:ascii="Calibri" w:hAnsi="Calibri"/>
                <w:b/>
                <w:color w:val="30A46C"/>
                <w:sz w:val="22"/>
              </w:rPr>
              <w:t>+1.4%</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Net Revenue</w:t>
            </w:r>
          </w:p>
        </w:tc>
        <w:tc>
          <w:tcPr>
            <w:tcW w:type="dxa" w:w="1440"/>
          </w:tcPr>
          <w:p>
            <w:r>
              <w:rPr>
                <w:rFonts w:ascii="Calibri" w:hAnsi="Calibri"/>
                <w:sz w:val="22"/>
              </w:rPr>
              <w:t>$513.8M</w:t>
            </w:r>
          </w:p>
        </w:tc>
        <w:tc>
          <w:tcPr>
            <w:tcW w:type="dxa" w:w="1440"/>
          </w:tcPr>
          <w:p>
            <w:r>
              <w:rPr>
                <w:rFonts w:ascii="Calibri" w:hAnsi="Calibri"/>
                <w:sz w:val="22"/>
              </w:rPr>
              <w:t>$514.5M</w:t>
            </w:r>
          </w:p>
        </w:tc>
        <w:tc>
          <w:tcPr>
            <w:tcW w:type="dxa" w:w="1440"/>
          </w:tcPr>
          <w:p>
            <w:r>
              <w:rPr>
                <w:rFonts w:ascii="Calibri" w:hAnsi="Calibri"/>
                <w:b/>
                <w:color w:val="E5484D"/>
                <w:sz w:val="22"/>
              </w:rPr>
              <w:t>-0.1%</w:t>
            </w:r>
          </w:p>
        </w:tc>
        <w:tc>
          <w:tcPr>
            <w:tcW w:type="dxa" w:w="1440"/>
          </w:tcPr>
          <w:p>
            <w:r>
              <w:rPr>
                <w:rFonts w:ascii="Calibri" w:hAnsi="Calibri"/>
                <w:b/>
                <w:color w:val="E5484D"/>
                <w:sz w:val="22"/>
              </w:rPr>
              <w:t>MISS</w:t>
            </w:r>
          </w:p>
        </w:tc>
      </w:tr>
      <w:tr>
        <w:tc>
          <w:tcPr>
            <w:tcW w:type="dxa" w:w="1440"/>
          </w:tcPr>
          <w:p>
            <w:r>
              <w:rPr>
                <w:rFonts w:ascii="Calibri" w:hAnsi="Calibri"/>
                <w:sz w:val="22"/>
              </w:rPr>
              <w:t>Q2 2024</w:t>
            </w:r>
          </w:p>
        </w:tc>
        <w:tc>
          <w:tcPr>
            <w:tcW w:type="dxa" w:w="1440"/>
          </w:tcPr>
          <w:p>
            <w:r>
              <w:rPr>
                <w:rFonts w:ascii="Calibri" w:hAnsi="Calibri"/>
                <w:sz w:val="22"/>
              </w:rPr>
              <w:t>Adj. Diluted EPS</w:t>
            </w:r>
          </w:p>
        </w:tc>
        <w:tc>
          <w:tcPr>
            <w:tcW w:type="dxa" w:w="1440"/>
          </w:tcPr>
          <w:p>
            <w:r>
              <w:rPr>
                <w:rFonts w:ascii="Calibri" w:hAnsi="Calibri"/>
                <w:sz w:val="22"/>
              </w:rPr>
              <w:t>$2.15</w:t>
            </w:r>
          </w:p>
        </w:tc>
        <w:tc>
          <w:tcPr>
            <w:tcW w:type="dxa" w:w="1440"/>
          </w:tcPr>
          <w:p>
            <w:r>
              <w:rPr>
                <w:rFonts w:ascii="Calibri" w:hAnsi="Calibri"/>
                <w:sz w:val="22"/>
              </w:rPr>
              <w:t>$2.10</w:t>
            </w:r>
          </w:p>
        </w:tc>
        <w:tc>
          <w:tcPr>
            <w:tcW w:type="dxa" w:w="1440"/>
          </w:tcPr>
          <w:p>
            <w:r>
              <w:rPr>
                <w:rFonts w:ascii="Calibri" w:hAnsi="Calibri"/>
                <w:b/>
                <w:color w:val="30A46C"/>
                <w:sz w:val="22"/>
              </w:rPr>
              <w:t>+2.4%</w:t>
            </w:r>
          </w:p>
        </w:tc>
        <w:tc>
          <w:tcPr>
            <w:tcW w:type="dxa" w:w="144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CBOE has beaten consensus on net revenue in 6 of the last 8 quarters and on adjusted EPS in 7 of the last 8 quarters, with the two revenue misses being marginal (&lt;0.1%). The beat cadence has accelerated sharply since Q3 2025 as SPX 0DTE volumes surged, with EPS beats averaging ~6% over the last four quarters — a strong base-rate argument for another beat in Q2 2026.</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Management's posture is </w:t>
      </w:r>
      <w:r>
        <w:rPr>
          <w:rFonts w:ascii="Calibri" w:hAnsi="Calibri"/>
          <w:b/>
          <w:color w:val="525866"/>
          <w:sz w:val="22"/>
        </w:rPr>
        <w:t>decidedly more confident</w:t>
      </w:r>
      <w:r>
        <w:rPr>
          <w:rFonts w:ascii="Calibri" w:hAnsi="Calibri"/>
          <w:color w:val="525866"/>
          <w:sz w:val="22"/>
        </w:rPr>
        <w:t xml:space="preserve"> than at any prior point in the last two years — full-year organic revenue guidance was raised substantially at Q1 2026 and opex guidance was cut, and no post-earnings event has walked back either number. The tone is one of strategic acceleration, not caution.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1,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Total Organic Net Revenue Growth (FY 2026)</w:t>
            </w:r>
          </w:p>
        </w:tc>
        <w:tc>
          <w:tcPr>
            <w:tcW w:type="dxa" w:w="1728"/>
          </w:tcPr>
          <w:p>
            <w:r>
              <w:rPr>
                <w:rFonts w:ascii="Calibri" w:hAnsi="Calibri"/>
                <w:sz w:val="22"/>
              </w:rPr>
              <w:t>Low-double-digit to mid-teens range (raised from prior mid-single-digit guidance)</w:t>
            </w:r>
          </w:p>
        </w:tc>
        <w:tc>
          <w:tcPr>
            <w:tcW w:type="dxa" w:w="1728"/>
          </w:tcPr>
          <w:p>
            <w:r>
              <w:rPr>
                <w:rFonts w:ascii="Calibri" w:hAnsi="Calibri"/>
                <w:sz w:val="22"/>
              </w:rPr>
              <w:t>—</w:t>
            </w:r>
          </w:p>
        </w:tc>
        <w:tc>
          <w:tcPr>
            <w:tcW w:type="dxa" w:w="1728"/>
          </w:tcPr>
          <w:p>
            <w:r>
              <w:rPr>
                <w:rFonts w:ascii="Calibri" w:hAnsi="Calibri"/>
                <w:sz w:val="22"/>
              </w:rPr>
              <w:t>$2,858M FY 2026 consensus (~+20% YoY)</w:t>
            </w:r>
          </w:p>
        </w:tc>
        <w:tc>
          <w:tcPr>
            <w:tcW w:type="dxa" w:w="1728"/>
          </w:tcPr>
          <w:p>
            <w:r>
              <w:rPr>
                <w:rFonts w:ascii="Calibri" w:hAnsi="Calibri"/>
                <w:sz w:val="22"/>
              </w:rPr>
              <w:t>Guidance raised significantly at Q1 2026 earnings; no post-earnings revision. Consensus tracking above the low end of the range.</w:t>
            </w:r>
          </w:p>
        </w:tc>
      </w:tr>
      <w:tr>
        <w:tc>
          <w:tcPr>
            <w:tcW w:type="dxa" w:w="1728"/>
          </w:tcPr>
          <w:p>
            <w:r>
              <w:rPr>
                <w:rFonts w:ascii="Calibri" w:hAnsi="Calibri"/>
                <w:sz w:val="22"/>
              </w:rPr>
              <w:t>Data Vantage Organic Net Revenue Growth (FY 2026)</w:t>
            </w:r>
          </w:p>
        </w:tc>
        <w:tc>
          <w:tcPr>
            <w:tcW w:type="dxa" w:w="1728"/>
          </w:tcPr>
          <w:p>
            <w:r>
              <w:rPr>
                <w:rFonts w:ascii="Calibri" w:hAnsi="Calibri"/>
                <w:sz w:val="22"/>
              </w:rPr>
              <w:t>Low-double-digit range (raised from prior mid-to-high single-digit)</w:t>
            </w:r>
          </w:p>
        </w:tc>
        <w:tc>
          <w:tcPr>
            <w:tcW w:type="dxa" w:w="1728"/>
          </w:tcPr>
          <w:p>
            <w:r>
              <w:rPr>
                <w:rFonts w:ascii="Calibri" w:hAnsi="Calibri"/>
                <w:sz w:val="22"/>
              </w:rPr>
              <w:t>—</w:t>
            </w:r>
          </w:p>
        </w:tc>
        <w:tc>
          <w:tcPr>
            <w:tcW w:type="dxa" w:w="1728"/>
          </w:tcPr>
          <w:p>
            <w:r>
              <w:rPr>
                <w:rFonts w:ascii="Calibri" w:hAnsi="Calibri"/>
                <w:sz w:val="22"/>
              </w:rPr>
              <w:t>$700.8M FY 2026 consensus</w:t>
            </w:r>
          </w:p>
        </w:tc>
        <w:tc>
          <w:tcPr>
            <w:tcW w:type="dxa" w:w="1728"/>
          </w:tcPr>
          <w:p>
            <w:r>
              <w:rPr>
                <w:rFonts w:ascii="Calibri" w:hAnsi="Calibri"/>
                <w:sz w:val="22"/>
              </w:rPr>
              <w:t>Guidance raised at Q1 2026 earnings. Management noted this is not necessarily a new baseline but reflects strong momentum.</w:t>
            </w:r>
          </w:p>
        </w:tc>
      </w:tr>
      <w:tr>
        <w:tc>
          <w:tcPr>
            <w:tcW w:type="dxa" w:w="1728"/>
          </w:tcPr>
          <w:p>
            <w:r>
              <w:rPr>
                <w:rFonts w:ascii="Calibri" w:hAnsi="Calibri"/>
                <w:sz w:val="22"/>
              </w:rPr>
              <w:t>Adj. Operating Expenses (FY 2026)</w:t>
            </w:r>
          </w:p>
        </w:tc>
        <w:tc>
          <w:tcPr>
            <w:tcW w:type="dxa" w:w="1728"/>
          </w:tcPr>
          <w:p>
            <w:r>
              <w:rPr>
                <w:rFonts w:ascii="Calibri" w:hAnsi="Calibri"/>
                <w:sz w:val="22"/>
              </w:rPr>
              <w:t>$838M–$853M (lowered from prior $864M–$879M)</w:t>
            </w:r>
          </w:p>
        </w:tc>
        <w:tc>
          <w:tcPr>
            <w:tcW w:type="dxa" w:w="1728"/>
          </w:tcPr>
          <w:p>
            <w:r>
              <w:rPr>
                <w:rFonts w:ascii="Calibri" w:hAnsi="Calibri"/>
                <w:sz w:val="22"/>
              </w:rPr>
              <w:t>—</w:t>
            </w:r>
          </w:p>
        </w:tc>
        <w:tc>
          <w:tcPr>
            <w:tcW w:type="dxa" w:w="1728"/>
          </w:tcPr>
          <w:p>
            <w:r>
              <w:rPr>
                <w:rFonts w:ascii="Calibri" w:hAnsi="Calibri"/>
                <w:sz w:val="22"/>
              </w:rPr>
              <w:t>$844.9M FY 2026 consensus</w:t>
            </w:r>
          </w:p>
        </w:tc>
        <w:tc>
          <w:tcPr>
            <w:tcW w:type="dxa" w:w="1728"/>
          </w:tcPr>
          <w:p>
            <w:r>
              <w:rPr>
                <w:rFonts w:ascii="Calibri" w:hAnsi="Calibri"/>
                <w:sz w:val="22"/>
              </w:rPr>
              <w:t>Guidance lowered at Q1 2026 earnings, incorporating ~$20–$25M of incremental realignment savings in 2026. Consensus sits near midpoint.</w:t>
            </w:r>
          </w:p>
        </w:tc>
      </w:tr>
      <w:tr>
        <w:tc>
          <w:tcPr>
            <w:tcW w:type="dxa" w:w="1728"/>
          </w:tcPr>
          <w:p>
            <w:r>
              <w:rPr>
                <w:rFonts w:ascii="Calibri" w:hAnsi="Calibri"/>
                <w:sz w:val="22"/>
              </w:rPr>
              <w:t>Capital Expenditures (FY 2026)</w:t>
            </w:r>
          </w:p>
        </w:tc>
        <w:tc>
          <w:tcPr>
            <w:tcW w:type="dxa" w:w="1728"/>
          </w:tcPr>
          <w:p>
            <w:r>
              <w:rPr>
                <w:rFonts w:ascii="Calibri" w:hAnsi="Calibri"/>
                <w:sz w:val="22"/>
              </w:rPr>
              <w:t>$73M–$83M</w:t>
            </w:r>
          </w:p>
        </w:tc>
        <w:tc>
          <w:tcPr>
            <w:tcW w:type="dxa" w:w="1728"/>
          </w:tcPr>
          <w:p>
            <w:r>
              <w:rPr>
                <w:rFonts w:ascii="Calibri" w:hAnsi="Calibri"/>
                <w:sz w:val="22"/>
              </w:rPr>
              <w:t>—</w:t>
            </w:r>
          </w:p>
        </w:tc>
        <w:tc>
          <w:tcPr>
            <w:tcW w:type="dxa" w:w="1728"/>
          </w:tcPr>
          <w:p>
            <w:r>
              <w:rPr>
                <w:rFonts w:ascii="Calibri" w:hAnsi="Calibri"/>
                <w:sz w:val="22"/>
              </w:rPr>
              <w:t>N/A — not tracked in VA</w:t>
            </w:r>
          </w:p>
        </w:tc>
        <w:tc>
          <w:tcPr>
            <w:tcW w:type="dxa" w:w="1728"/>
          </w:tcPr>
          <w:p>
            <w:r>
              <w:rPr>
                <w:rFonts w:ascii="Calibri" w:hAnsi="Calibri"/>
                <w:sz w:val="22"/>
              </w:rPr>
              <w:t>Unchanged from prior guidance. No post-earnings update.</w:t>
            </w:r>
          </w:p>
        </w:tc>
      </w:tr>
      <w:tr>
        <w:tc>
          <w:tcPr>
            <w:tcW w:type="dxa" w:w="1728"/>
          </w:tcPr>
          <w:p>
            <w:r>
              <w:rPr>
                <w:rFonts w:ascii="Calibri" w:hAnsi="Calibri"/>
                <w:sz w:val="22"/>
              </w:rPr>
              <w:t>D&amp;A (FY 2026)</w:t>
            </w:r>
          </w:p>
        </w:tc>
        <w:tc>
          <w:tcPr>
            <w:tcW w:type="dxa" w:w="1728"/>
          </w:tcPr>
          <w:p>
            <w:r>
              <w:rPr>
                <w:rFonts w:ascii="Calibri" w:hAnsi="Calibri"/>
                <w:sz w:val="22"/>
              </w:rPr>
              <w:t>$56M–$60M</w:t>
            </w:r>
          </w:p>
        </w:tc>
        <w:tc>
          <w:tcPr>
            <w:tcW w:type="dxa" w:w="1728"/>
          </w:tcPr>
          <w:p>
            <w:r>
              <w:rPr>
                <w:rFonts w:ascii="Calibri" w:hAnsi="Calibri"/>
                <w:sz w:val="22"/>
              </w:rPr>
              <w:t>—</w:t>
            </w:r>
          </w:p>
        </w:tc>
        <w:tc>
          <w:tcPr>
            <w:tcW w:type="dxa" w:w="1728"/>
          </w:tcPr>
          <w:p>
            <w:r>
              <w:rPr>
                <w:rFonts w:ascii="Calibri" w:hAnsi="Calibri"/>
                <w:sz w:val="22"/>
              </w:rPr>
              <w:t>N/A — not tracked in VA</w:t>
            </w:r>
          </w:p>
        </w:tc>
        <w:tc>
          <w:tcPr>
            <w:tcW w:type="dxa" w:w="1728"/>
          </w:tcPr>
          <w:p>
            <w:r>
              <w:rPr>
                <w:rFonts w:ascii="Calibri" w:hAnsi="Calibri"/>
                <w:sz w:val="22"/>
              </w:rPr>
              <w:t>Unchanged. No post-earnings update.</w:t>
            </w:r>
          </w:p>
        </w:tc>
      </w:tr>
      <w:tr>
        <w:tc>
          <w:tcPr>
            <w:tcW w:type="dxa" w:w="1728"/>
          </w:tcPr>
          <w:p>
            <w:r>
              <w:rPr>
                <w:rFonts w:ascii="Calibri" w:hAnsi="Calibri"/>
                <w:sz w:val="22"/>
              </w:rPr>
              <w:t>Effective Tax Rate (FY 2026)</w:t>
            </w:r>
          </w:p>
        </w:tc>
        <w:tc>
          <w:tcPr>
            <w:tcW w:type="dxa" w:w="1728"/>
          </w:tcPr>
          <w:p>
            <w:r>
              <w:rPr>
                <w:rFonts w:ascii="Calibri" w:hAnsi="Calibri"/>
                <w:sz w:val="22"/>
              </w:rPr>
              <w:t>27.5%–29.5%</w:t>
            </w:r>
          </w:p>
        </w:tc>
        <w:tc>
          <w:tcPr>
            <w:tcW w:type="dxa" w:w="1728"/>
          </w:tcPr>
          <w:p>
            <w:r>
              <w:rPr>
                <w:rFonts w:ascii="Calibri" w:hAnsi="Calibri"/>
                <w:sz w:val="22"/>
              </w:rPr>
              <w:t>—</w:t>
            </w:r>
          </w:p>
        </w:tc>
        <w:tc>
          <w:tcPr>
            <w:tcW w:type="dxa" w:w="1728"/>
          </w:tcPr>
          <w:p>
            <w:r>
              <w:rPr>
                <w:rFonts w:ascii="Calibri" w:hAnsi="Calibri"/>
                <w:sz w:val="22"/>
              </w:rPr>
              <w:t>N/A — not tracked in VA</w:t>
            </w:r>
          </w:p>
        </w:tc>
        <w:tc>
          <w:tcPr>
            <w:tcW w:type="dxa" w:w="1728"/>
          </w:tcPr>
          <w:p>
            <w:r>
              <w:rPr>
                <w:rFonts w:ascii="Calibri" w:hAnsi="Calibri"/>
                <w:sz w:val="22"/>
              </w:rPr>
              <w:t>Unchanged. No post-earnings update.</w:t>
            </w:r>
          </w:p>
        </w:tc>
      </w:tr>
      <w:tr>
        <w:tc>
          <w:tcPr>
            <w:tcW w:type="dxa" w:w="1728"/>
          </w:tcPr>
          <w:p>
            <w:r>
              <w:rPr>
                <w:rFonts w:ascii="Calibri" w:hAnsi="Calibri"/>
                <w:sz w:val="22"/>
              </w:rPr>
              <w:t>Net Interest Income (Q2 2026)</w:t>
            </w:r>
          </w:p>
        </w:tc>
        <w:tc>
          <w:tcPr>
            <w:tcW w:type="dxa" w:w="1728"/>
          </w:tcPr>
          <w:p>
            <w:r>
              <w:rPr>
                <w:rFonts w:ascii="Calibri" w:hAnsi="Calibri"/>
                <w:sz w:val="22"/>
              </w:rPr>
              <w:t>$3.5M–$4.5M positive contributor</w:t>
            </w:r>
          </w:p>
        </w:tc>
        <w:tc>
          <w:tcPr>
            <w:tcW w:type="dxa" w:w="1728"/>
          </w:tcPr>
          <w:p>
            <w:r>
              <w:rPr>
                <w:rFonts w:ascii="Calibri" w:hAnsi="Calibri"/>
                <w:sz w:val="22"/>
              </w:rPr>
              <w:t>—</w:t>
            </w:r>
          </w:p>
        </w:tc>
        <w:tc>
          <w:tcPr>
            <w:tcW w:type="dxa" w:w="1728"/>
          </w:tcPr>
          <w:p>
            <w:r>
              <w:rPr>
                <w:rFonts w:ascii="Calibri" w:hAnsi="Calibri"/>
                <w:sz w:val="22"/>
              </w:rPr>
              <w:t>N/A — not tracked in VA</w:t>
            </w:r>
          </w:p>
        </w:tc>
        <w:tc>
          <w:tcPr>
            <w:tcW w:type="dxa" w:w="1728"/>
          </w:tcPr>
          <w:p>
            <w:r>
              <w:rPr>
                <w:rFonts w:ascii="Calibri" w:hAnsi="Calibri"/>
                <w:sz w:val="22"/>
              </w:rPr>
              <w:t>Q2-specific guidance provided at Q1 earnings call. No post-earnings update.</w:t>
            </w:r>
          </w:p>
        </w:tc>
      </w:tr>
      <w:tr>
        <w:tc>
          <w:tcPr>
            <w:tcW w:type="dxa" w:w="1728"/>
          </w:tcPr>
          <w:p>
            <w:r>
              <w:rPr>
                <w:rFonts w:ascii="Calibri" w:hAnsi="Calibri"/>
                <w:sz w:val="22"/>
              </w:rPr>
              <w:t>Annualized Expense Savings (Strategic Realignment)</w:t>
            </w:r>
          </w:p>
        </w:tc>
        <w:tc>
          <w:tcPr>
            <w:tcW w:type="dxa" w:w="1728"/>
          </w:tcPr>
          <w:p>
            <w:r>
              <w:rPr>
                <w:rFonts w:ascii="Calibri" w:hAnsi="Calibri"/>
                <w:sz w:val="22"/>
              </w:rPr>
              <w:t>$100M–$120M (12–14% vs. 2025), raised from prior 8–10% target</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Raised at Q1 2026 earnings alongside ~20% workforce reduction announcement. Canada/Australia sale savings ($40–$50M opex) NOT yet in guidance pending close.</w:t>
            </w:r>
          </w:p>
        </w:tc>
      </w:tr>
    </w:tbl>
    <w:p>
      <w:r>
        <w:rPr>
          <w:rFonts w:ascii="Calibri" w:hAnsi="Calibri"/>
          <w:color w:val="525866"/>
          <w:sz w:val="22"/>
        </w:rPr>
        <w:t>Management tone at Q1 2026 was the most bullish in recent memory. CEO Craig Donohue stated: "I have never been as excited about the road ahead as I am now." The strategic realignment is complete in its major contours — Canada/Australia sale agreed, Japan wound down, workforce reduced ~20% — and the company is pivoting to offense with event contracts, tokenization, and clearing expansion. No post-earnings guidance revisions or 8-K pre-announcements have been filed, which is consistent with the company tracking in line with or ahead of its raised guidance.</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moved </w:t>
      </w:r>
      <w:r>
        <w:rPr>
          <w:rFonts w:ascii="Calibri" w:hAnsi="Calibri"/>
          <w:b/>
          <w:color w:val="525866"/>
          <w:sz w:val="22"/>
        </w:rPr>
        <w:t>meaningfully higher</w:t>
      </w:r>
      <w:r>
        <w:rPr>
          <w:rFonts w:ascii="Calibri" w:hAnsi="Calibri"/>
          <w:color w:val="525866"/>
          <w:sz w:val="22"/>
        </w:rPr>
        <w:t xml:space="preserve"> since the Q1 2026 print for both Q2 and FY 2026, tracking in the same direction as raised guidance. The Q2 revenue consensus is up ~3.4% from the post-earnings baseline, and FY 2026 revenue is up ~1.1% — a modest but consistent upward drift that leaves the bar achievable rather than stretched.</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6, 2026)</w:t>
            </w:r>
          </w:p>
        </w:tc>
        <w:tc>
          <w:tcPr>
            <w:tcW w:type="dxa" w:w="1080"/>
            <w:shd w:val="clear" w:color="auto" w:fill="3B4259"/>
          </w:tcPr>
          <w:p>
            <w:r>
              <w:rPr>
                <w:rFonts w:ascii="Calibri" w:hAnsi="Calibri"/>
                <w:b/>
                <w:color w:val="FFFFFF"/>
                <w:sz w:val="22"/>
              </w:rPr>
              <w:t>Current Consensus (July 30,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Net Revenue — Q2 2026</w:t>
            </w:r>
          </w:p>
        </w:tc>
        <w:tc>
          <w:tcPr>
            <w:tcW w:type="dxa" w:w="1080"/>
          </w:tcPr>
          <w:p>
            <w:r>
              <w:rPr>
                <w:rFonts w:ascii="Calibri" w:hAnsi="Calibri"/>
                <w:sz w:val="22"/>
              </w:rPr>
              <w:t>$697.4M</w:t>
            </w:r>
          </w:p>
        </w:tc>
        <w:tc>
          <w:tcPr>
            <w:tcW w:type="dxa" w:w="1080"/>
          </w:tcPr>
          <w:p>
            <w:r>
              <w:rPr>
                <w:rFonts w:ascii="Calibri" w:hAnsi="Calibri"/>
                <w:sz w:val="22"/>
              </w:rPr>
              <w:t>$720.9M</w:t>
            </w:r>
          </w:p>
        </w:tc>
        <w:tc>
          <w:tcPr>
            <w:tcW w:type="dxa" w:w="1080"/>
          </w:tcPr>
          <w:p>
            <w:r>
              <w:rPr>
                <w:rFonts w:ascii="Calibri" w:hAnsi="Calibri"/>
                <w:b/>
                <w:color w:val="30A46C"/>
                <w:sz w:val="22"/>
              </w:rPr>
              <w:t>+3.4%</w:t>
            </w:r>
          </w:p>
        </w:tc>
        <w:tc>
          <w:tcPr>
            <w:tcW w:type="dxa" w:w="1080"/>
          </w:tcPr>
          <w:p>
            <w:r>
              <w:rPr>
                <w:rFonts w:ascii="Calibri" w:hAnsi="Calibri"/>
                <w:sz w:val="22"/>
              </w:rPr>
              <w:t>Low-DD to mid-teens organic growth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Tracking within range</w:t>
            </w:r>
          </w:p>
        </w:tc>
      </w:tr>
      <w:tr>
        <w:tc>
          <w:tcPr>
            <w:tcW w:type="dxa" w:w="1080"/>
          </w:tcPr>
          <w:p>
            <w:r>
              <w:rPr>
                <w:rFonts w:ascii="Calibri" w:hAnsi="Calibri"/>
                <w:sz w:val="22"/>
              </w:rPr>
              <w:t>Net Revenue — FY 2026</w:t>
            </w:r>
          </w:p>
        </w:tc>
        <w:tc>
          <w:tcPr>
            <w:tcW w:type="dxa" w:w="1080"/>
          </w:tcPr>
          <w:p>
            <w:r>
              <w:rPr>
                <w:rFonts w:ascii="Calibri" w:hAnsi="Calibri"/>
                <w:sz w:val="22"/>
              </w:rPr>
              <w:t>$2,828.0M</w:t>
            </w:r>
          </w:p>
        </w:tc>
        <w:tc>
          <w:tcPr>
            <w:tcW w:type="dxa" w:w="1080"/>
          </w:tcPr>
          <w:p>
            <w:r>
              <w:rPr>
                <w:rFonts w:ascii="Calibri" w:hAnsi="Calibri"/>
                <w:sz w:val="22"/>
              </w:rPr>
              <w:t>$2,858.1M</w:t>
            </w:r>
          </w:p>
        </w:tc>
        <w:tc>
          <w:tcPr>
            <w:tcW w:type="dxa" w:w="1080"/>
          </w:tcPr>
          <w:p>
            <w:r>
              <w:rPr>
                <w:rFonts w:ascii="Calibri" w:hAnsi="Calibri"/>
                <w:b/>
                <w:color w:val="30A46C"/>
                <w:sz w:val="22"/>
              </w:rPr>
              <w:t>+1.1%</w:t>
            </w:r>
          </w:p>
        </w:tc>
        <w:tc>
          <w:tcPr>
            <w:tcW w:type="dxa" w:w="1080"/>
          </w:tcPr>
          <w:p>
            <w:r>
              <w:rPr>
                <w:rFonts w:ascii="Calibri" w:hAnsi="Calibri"/>
                <w:sz w:val="22"/>
              </w:rPr>
              <w:t>Low-DD to mid-teens organic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Tracking within range</w:t>
            </w:r>
          </w:p>
        </w:tc>
      </w:tr>
      <w:tr>
        <w:tc>
          <w:tcPr>
            <w:tcW w:type="dxa" w:w="1080"/>
          </w:tcPr>
          <w:p>
            <w:r>
              <w:rPr>
                <w:rFonts w:ascii="Calibri" w:hAnsi="Calibri"/>
                <w:sz w:val="22"/>
              </w:rPr>
              <w:t>Adj. Diluted EPS — Q2 2026</w:t>
            </w:r>
          </w:p>
        </w:tc>
        <w:tc>
          <w:tcPr>
            <w:tcW w:type="dxa" w:w="1080"/>
          </w:tcPr>
          <w:p>
            <w:r>
              <w:rPr>
                <w:rFonts w:ascii="Calibri" w:hAnsi="Calibri"/>
                <w:sz w:val="22"/>
              </w:rPr>
              <w:t>$3.33</w:t>
            </w:r>
          </w:p>
        </w:tc>
        <w:tc>
          <w:tcPr>
            <w:tcW w:type="dxa" w:w="1080"/>
          </w:tcPr>
          <w:p>
            <w:r>
              <w:rPr>
                <w:rFonts w:ascii="Calibri" w:hAnsi="Calibri"/>
                <w:sz w:val="22"/>
              </w:rPr>
              <w:t>$3.48</w:t>
            </w:r>
          </w:p>
        </w:tc>
        <w:tc>
          <w:tcPr>
            <w:tcW w:type="dxa" w:w="1080"/>
          </w:tcPr>
          <w:p>
            <w:r>
              <w:rPr>
                <w:rFonts w:ascii="Calibri" w:hAnsi="Calibri"/>
                <w:b/>
                <w:color w:val="30A46C"/>
                <w:sz w:val="22"/>
              </w:rPr>
              <w:t>+4.5%</w:t>
            </w:r>
          </w:p>
        </w:tc>
        <w:tc>
          <w:tcPr>
            <w:tcW w:type="dxa" w:w="1080"/>
          </w:tcPr>
          <w:p>
            <w:r>
              <w:rPr>
                <w:rFonts w:ascii="Calibri" w:hAnsi="Calibri"/>
                <w:sz w:val="22"/>
              </w:rPr>
              <w:t>No explicit EPS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Diluted EPS — FY 2026</w:t>
            </w:r>
          </w:p>
        </w:tc>
        <w:tc>
          <w:tcPr>
            <w:tcW w:type="dxa" w:w="1080"/>
          </w:tcPr>
          <w:p>
            <w:r>
              <w:rPr>
                <w:rFonts w:ascii="Calibri" w:hAnsi="Calibri"/>
                <w:sz w:val="22"/>
              </w:rPr>
              <w:t>$13.70</w:t>
            </w:r>
          </w:p>
        </w:tc>
        <w:tc>
          <w:tcPr>
            <w:tcW w:type="dxa" w:w="1080"/>
          </w:tcPr>
          <w:p>
            <w:r>
              <w:rPr>
                <w:rFonts w:ascii="Calibri" w:hAnsi="Calibri"/>
                <w:sz w:val="22"/>
              </w:rPr>
              <w:t>$13.89</w:t>
            </w:r>
          </w:p>
        </w:tc>
        <w:tc>
          <w:tcPr>
            <w:tcW w:type="dxa" w:w="1080"/>
          </w:tcPr>
          <w:p>
            <w:r>
              <w:rPr>
                <w:rFonts w:ascii="Calibri" w:hAnsi="Calibri"/>
                <w:b/>
                <w:color w:val="30A46C"/>
                <w:sz w:val="22"/>
              </w:rPr>
              <w:t>+1.4%</w:t>
            </w:r>
          </w:p>
        </w:tc>
        <w:tc>
          <w:tcPr>
            <w:tcW w:type="dxa" w:w="1080"/>
          </w:tcPr>
          <w:p>
            <w:r>
              <w:rPr>
                <w:rFonts w:ascii="Calibri" w:hAnsi="Calibri"/>
                <w:sz w:val="22"/>
              </w:rPr>
              <w:t>No explicit EPS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Index Options ADV — Q2 2026 (K contracts)</w:t>
            </w:r>
          </w:p>
        </w:tc>
        <w:tc>
          <w:tcPr>
            <w:tcW w:type="dxa" w:w="1080"/>
          </w:tcPr>
          <w:p>
            <w:r>
              <w:rPr>
                <w:rFonts w:ascii="Calibri" w:hAnsi="Calibri"/>
                <w:sz w:val="22"/>
              </w:rPr>
              <w:t>5,904K</w:t>
            </w:r>
          </w:p>
        </w:tc>
        <w:tc>
          <w:tcPr>
            <w:tcW w:type="dxa" w:w="1080"/>
          </w:tcPr>
          <w:p>
            <w:r>
              <w:rPr>
                <w:rFonts w:ascii="Calibri" w:hAnsi="Calibri"/>
                <w:sz w:val="22"/>
              </w:rPr>
              <w:t>6,208K</w:t>
            </w:r>
          </w:p>
        </w:tc>
        <w:tc>
          <w:tcPr>
            <w:tcW w:type="dxa" w:w="1080"/>
          </w:tcPr>
          <w:p>
            <w:r>
              <w:rPr>
                <w:rFonts w:ascii="Calibri" w:hAnsi="Calibri"/>
                <w:b/>
                <w:color w:val="30A46C"/>
                <w:sz w:val="22"/>
              </w:rPr>
              <w:t>+5.1%</w:t>
            </w:r>
          </w:p>
        </w:tc>
        <w:tc>
          <w:tcPr>
            <w:tcW w:type="dxa" w:w="1080"/>
          </w:tcPr>
          <w:p>
            <w:r>
              <w:rPr>
                <w:rFonts w:ascii="Calibri" w:hAnsi="Calibri"/>
                <w:sz w:val="22"/>
              </w:rPr>
              <w:t>No specific ADV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Operating EBITDA — Q2 2026</w:t>
            </w:r>
          </w:p>
        </w:tc>
        <w:tc>
          <w:tcPr>
            <w:tcW w:type="dxa" w:w="1080"/>
          </w:tcPr>
          <w:p>
            <w:r>
              <w:rPr>
                <w:rFonts w:ascii="Calibri" w:hAnsi="Calibri"/>
                <w:sz w:val="22"/>
              </w:rPr>
              <w:t>$477.0M</w:t>
            </w:r>
          </w:p>
        </w:tc>
        <w:tc>
          <w:tcPr>
            <w:tcW w:type="dxa" w:w="1080"/>
          </w:tcPr>
          <w:p>
            <w:r>
              <w:rPr>
                <w:rFonts w:ascii="Calibri" w:hAnsi="Calibri"/>
                <w:sz w:val="22"/>
              </w:rPr>
              <w:t>$521.8M</w:t>
            </w:r>
          </w:p>
        </w:tc>
        <w:tc>
          <w:tcPr>
            <w:tcW w:type="dxa" w:w="1080"/>
          </w:tcPr>
          <w:p>
            <w:r>
              <w:rPr>
                <w:rFonts w:ascii="Calibri" w:hAnsi="Calibri"/>
                <w:b/>
                <w:color w:val="30A46C"/>
                <w:sz w:val="22"/>
              </w:rPr>
              <w:t>+9.4%</w:t>
            </w:r>
          </w:p>
        </w:tc>
        <w:tc>
          <w:tcPr>
            <w:tcW w:type="dxa" w:w="1080"/>
          </w:tcPr>
          <w:p>
            <w:r>
              <w:rPr>
                <w:rFonts w:ascii="Calibri" w:hAnsi="Calibri"/>
                <w:sz w:val="22"/>
              </w:rPr>
              <w:t>Opex $838–853M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Tracking within range</w:t>
            </w:r>
          </w:p>
        </w:tc>
      </w:tr>
    </w:tbl>
    <w:p>
      <w:r>
        <w:rPr>
          <w:rFonts w:ascii="Calibri" w:hAnsi="Calibri"/>
          <w:color w:val="525866"/>
          <w:sz w:val="22"/>
        </w:rPr>
        <w:t>The EBITDA estimate revision (+9.4% since the post-Q1 baseline) is the most notable move — driven by both higher revenue expectations and the market pricing in the full benefit of the lowered opex guidance. The gap between the post-earnings EBITDA baseline ($477M) and current consensus ($521.8M) reflects the market's growing conviction that the realignment savings are real and front-loaded. Estimates are tracking guidance, not diverging from it, which reduces the risk of a negative surprise on the cost side.</w:t>
      </w:r>
    </w:p>
    <w:p>
      <w:r>
        <w:rPr>
          <w:rFonts w:ascii="Calibri" w:hAnsi="Calibri"/>
          <w:i/>
          <w:color w:val="525866"/>
          <w:sz w:val="22"/>
        </w:rPr>
        <w:t>Source: Visible Alpha Consensus and Actuals Data. Post-earnings baseline as of May 6, 2026 (5 trading days after May 1, 2026 Q1 earnings).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CBOE has dramatically </w:t>
      </w:r>
      <w:r>
        <w:rPr>
          <w:rFonts w:ascii="Calibri" w:hAnsi="Calibri"/>
          <w:b/>
          <w:color w:val="525866"/>
          <w:sz w:val="22"/>
        </w:rPr>
        <w:t>underperformed XLF by ~19 percentage points</w:t>
      </w:r>
      <w:r>
        <w:rPr>
          <w:rFonts w:ascii="Calibri" w:hAnsi="Calibri"/>
          <w:color w:val="525866"/>
          <w:sz w:val="22"/>
        </w:rPr>
        <w:t xml:space="preserve"> since the Q1 2026 earnings date (May 1), driven by a sharp mid-June de-rating that appears linked to the SPGI licensing renewal overhang and broader multiple compression — not earnings fundamentals. The stock is now trading well below its post-earnings peak, creating a potentially attractive setup if Q2 results confirm the earnings trajectory.</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CBOE vs. XLF (Financial Select Sector SPDR) — Indexed to 100 at Q1 2026 Earnings Date (May 1, 2026). Source: Yahoo Finance / Stock Price Data.</w:t>
      </w:r>
    </w:p>
    <w:p>
      <w:r>
        <w:rPr>
          <w:rFonts w:ascii="Calibri" w:hAnsi="Calibri"/>
          <w:color w:val="525866"/>
          <w:sz w:val="22"/>
        </w:rPr>
        <w:t>CBOE surged ~12% in the two weeks following the Q1 2026 beat (peak indexed return of ~112 on May 13), as the market rewarded the record EPS, raised guidance, and decisive strategic realignment. However, the stock then reversed sharply through June, falling to a trough of ~71 (indexed) on June 29 — a ~37% drawdown from peak. The sell-off coincided with: (1) a broader financial sector rotation where XLF gained ~10% over the same period; (2) the emergence of the SPGI licensing renewal overhang (the S&amp;P/Cboe relationship generates &gt;$200M/year and renewal concerns surfaced on the SPGI Q2 earnings call); and (3) general multiple compression as the market re-rated high-P/E exchange names. The stock has partially recovered to ~$296 as of July 30, but remains ~9% below the May 1 close of $326.96. At current levels, CBOE is no longer pricing in a beat — the stock has de-rated to a level where a clean Q2 print could catalyze a meaningful re-rating.</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SPGI licensing renewal overhang</w:t>
      </w:r>
      <w:r>
        <w:rPr>
          <w:rFonts w:ascii="Calibri" w:hAnsi="Calibri"/>
          <w:color w:val="525866"/>
          <w:sz w:val="22"/>
        </w:rPr>
        <w:t xml:space="preserve"> that surfaced on the SPGI Q2 call — a risk that is structural and multi-year but has already weighed heavily on the stock. Operationally, the $400M revolving credit facility renewal and Cboe Clear Europe credit extension signal strong balance sheet management ahead of the Canada/Australia close.</w:t>
      </w:r>
    </w:p>
    <w:p>
      <w:pPr>
        <w:pStyle w:val="ListBullet"/>
        <w:ind w:left="360" w:hanging="360"/>
      </w:pPr>
      <w:r>
        <w:rPr>
          <w:rFonts w:ascii="Calibri" w:hAnsi="Calibri"/>
          <w:b/>
          <w:color w:val="525866"/>
          <w:sz w:val="22"/>
        </w:rPr>
        <w:t>July 28, 2026 — $400M Revolving Credit Facility Renewed (8-K):</w:t>
      </w:r>
      <w:r>
        <w:rPr>
          <w:rFonts w:ascii="Calibri" w:hAnsi="Calibri"/>
          <w:color w:val="525866"/>
          <w:sz w:val="22"/>
        </w:rPr>
        <w:t xml:space="preserve"> Cboe entered into a Third Amended and Restated Credit Agreement providing a senior unsecured $400M five-year revolving credit facility (expandable to $600M), maturing July 24, 2031. Covenants updated to support clearing activities. </w:t>
      </w:r>
      <w:r>
        <w:rPr>
          <w:rFonts w:ascii="Calibri" w:hAnsi="Calibri"/>
          <w:i/>
          <w:color w:val="525866"/>
          <w:sz w:val="22"/>
        </w:rPr>
        <w:t>Implication:</w:t>
      </w:r>
      <w:r>
        <w:rPr>
          <w:rFonts w:ascii="Calibri" w:hAnsi="Calibri"/>
          <w:color w:val="525866"/>
          <w:sz w:val="22"/>
        </w:rPr>
        <w:t xml:space="preserve"> Signals strong balance sheet management and provides liquidity runway for the Canada/Australia close and organic investments in event markets and clearing expansion.</w:t>
      </w:r>
    </w:p>
    <w:p>
      <w:pPr>
        <w:pStyle w:val="ListBullet"/>
        <w:ind w:left="360" w:hanging="360"/>
      </w:pPr>
      <w:r>
        <w:rPr>
          <w:rFonts w:ascii="Calibri" w:hAnsi="Calibri"/>
          <w:b/>
          <w:color w:val="525866"/>
          <w:sz w:val="22"/>
        </w:rPr>
        <w:t>July 28, 2026 — Barclays Lowers Price Target to $347 (from $382), Maintains Overweight:</w:t>
      </w:r>
      <w:r>
        <w:rPr>
          <w:rFonts w:ascii="Calibri" w:hAnsi="Calibri"/>
          <w:color w:val="525866"/>
          <w:sz w:val="22"/>
        </w:rPr>
        <w:t xml:space="preserve"> Analyst Benjamin Budish trimmed the PT following the stock's sharp pullback but maintained the constructive rating. </w:t>
      </w:r>
      <w:r>
        <w:rPr>
          <w:rFonts w:ascii="Calibri" w:hAnsi="Calibri"/>
          <w:i/>
          <w:color w:val="525866"/>
          <w:sz w:val="22"/>
        </w:rPr>
        <w:t>Implication:</w:t>
      </w:r>
      <w:r>
        <w:rPr>
          <w:rFonts w:ascii="Calibri" w:hAnsi="Calibri"/>
          <w:color w:val="525866"/>
          <w:sz w:val="22"/>
        </w:rPr>
        <w:t xml:space="preserve"> Sell-side remains broadly constructive (consensus Hold, avg PT ~$311–$318) but the PT compression reflects the multiple de-rating.</w:t>
      </w:r>
    </w:p>
    <w:p>
      <w:pPr>
        <w:pStyle w:val="ListBullet"/>
        <w:ind w:left="360" w:hanging="360"/>
      </w:pPr>
      <w:r>
        <w:rPr>
          <w:rFonts w:ascii="Calibri" w:hAnsi="Calibri"/>
          <w:b/>
          <w:color w:val="525866"/>
          <w:sz w:val="22"/>
        </w:rPr>
        <w:t>July 28, 2026 — SPGI Q2 Earnings Call — Licensing Renewal Overhang Surfaces:</w:t>
      </w:r>
      <w:r>
        <w:rPr>
          <w:rFonts w:ascii="Calibri" w:hAnsi="Calibri"/>
          <w:color w:val="525866"/>
          <w:sz w:val="22"/>
        </w:rPr>
        <w:t xml:space="preserve"> An analyst on the SPGI call noted the S&amp;P/Cboe licensing relationship generates &gt;$200M/year and flagged investor concerns about the upcoming renewal. SPGI CEO declined to comment on partner conversations. </w:t>
      </w:r>
      <w:r>
        <w:rPr>
          <w:rFonts w:ascii="Calibri" w:hAnsi="Calibri"/>
          <w:i/>
          <w:color w:val="525866"/>
          <w:sz w:val="22"/>
        </w:rPr>
        <w:t>Implication:</w:t>
      </w:r>
      <w:r>
        <w:rPr>
          <w:rFonts w:ascii="Calibri" w:hAnsi="Calibri"/>
          <w:color w:val="525866"/>
          <w:sz w:val="22"/>
        </w:rPr>
        <w:t xml:space="preserve"> This is the single biggest structural risk for CBOE — the SPX franchise is built on the S&amp;P 500 license. Management will likely be pressed on this at Q2 earnings.</w:t>
      </w:r>
    </w:p>
    <w:p>
      <w:pPr>
        <w:pStyle w:val="ListBullet"/>
        <w:ind w:left="360" w:hanging="360"/>
      </w:pPr>
      <w:r>
        <w:rPr>
          <w:rFonts w:ascii="Calibri" w:hAnsi="Calibri"/>
          <w:b/>
          <w:color w:val="525866"/>
          <w:sz w:val="22"/>
        </w:rPr>
        <w:t>June 26, 2026 — Cboe Clear Europe €1.7B Credit Facility Extended (8-K):</w:t>
      </w:r>
      <w:r>
        <w:rPr>
          <w:rFonts w:ascii="Calibri" w:hAnsi="Calibri"/>
          <w:color w:val="525866"/>
          <w:sz w:val="22"/>
        </w:rPr>
        <w:t xml:space="preserve"> Cboe Clear Europe's credit facility was amended and restated, extending the term to June 25, 2027, with aggregate commitment maintained at €1.2B (€1.7B with accordion). </w:t>
      </w:r>
      <w:r>
        <w:rPr>
          <w:rFonts w:ascii="Calibri" w:hAnsi="Calibri"/>
          <w:i/>
          <w:color w:val="525866"/>
          <w:sz w:val="22"/>
        </w:rPr>
        <w:t>Implication:</w:t>
      </w:r>
      <w:r>
        <w:rPr>
          <w:rFonts w:ascii="Calibri" w:hAnsi="Calibri"/>
          <w:color w:val="525866"/>
          <w:sz w:val="22"/>
        </w:rPr>
        <w:t xml:space="preserve"> Routine but important — ensures clearing operations in Europe remain fully funded as the securities financing transactions business scales.</w:t>
      </w:r>
    </w:p>
    <w:p>
      <w:pPr>
        <w:pStyle w:val="ListBullet"/>
        <w:ind w:left="360" w:hanging="360"/>
      </w:pPr>
      <w:r>
        <w:rPr>
          <w:rFonts w:ascii="Calibri" w:hAnsi="Calibri"/>
          <w:b/>
          <w:color w:val="525866"/>
          <w:sz w:val="22"/>
        </w:rPr>
        <w:t>June 22, 2026 — Loop Capital Sets Price Target at $263 (new coverage):</w:t>
      </w:r>
      <w:r>
        <w:rPr>
          <w:rFonts w:ascii="Calibri" w:hAnsi="Calibri"/>
          <w:color w:val="525866"/>
          <w:sz w:val="22"/>
        </w:rPr>
        <w:t xml:space="preserve"> The lowest PT on the Street, reflecting a more cautious view on the stock's valuation post-rally. </w:t>
      </w:r>
      <w:r>
        <w:rPr>
          <w:rFonts w:ascii="Calibri" w:hAnsi="Calibri"/>
          <w:i/>
          <w:color w:val="525866"/>
          <w:sz w:val="22"/>
        </w:rPr>
        <w:t>Implication:</w:t>
      </w:r>
      <w:r>
        <w:rPr>
          <w:rFonts w:ascii="Calibri" w:hAnsi="Calibri"/>
          <w:color w:val="525866"/>
          <w:sz w:val="22"/>
        </w:rPr>
        <w:t xml:space="preserve"> Highlights the wide dispersion in analyst views ($263–$382 range), suggesting the market has not reached consensus on the strategic transformation's value.</w:t>
      </w:r>
    </w:p>
    <w:p>
      <w:pPr>
        <w:pStyle w:val="ListBullet"/>
        <w:ind w:left="360" w:hanging="360"/>
      </w:pPr>
      <w:r>
        <w:rPr>
          <w:rFonts w:ascii="Calibri" w:hAnsi="Calibri"/>
          <w:b/>
          <w:color w:val="525866"/>
          <w:sz w:val="22"/>
        </w:rPr>
        <w:t>June 8, 2026 — Zacks Upgrades CBOE to Strong Buy:</w:t>
      </w:r>
      <w:r>
        <w:rPr>
          <w:rFonts w:ascii="Calibri" w:hAnsi="Calibri"/>
          <w:color w:val="525866"/>
          <w:sz w:val="22"/>
        </w:rPr>
        <w:t xml:space="preserve"> Upgrade from Hold, coinciding with the stock's mid-June trough. </w:t>
      </w:r>
      <w:r>
        <w:rPr>
          <w:rFonts w:ascii="Calibri" w:hAnsi="Calibri"/>
          <w:i/>
          <w:color w:val="525866"/>
          <w:sz w:val="22"/>
        </w:rPr>
        <w:t>Implication:</w:t>
      </w:r>
      <w:r>
        <w:rPr>
          <w:rFonts w:ascii="Calibri" w:hAnsi="Calibri"/>
          <w:color w:val="525866"/>
          <w:sz w:val="22"/>
        </w:rPr>
        <w:t xml:space="preserve"> Contrarian signal at the lows; the upgrade has not yet been rewarded given the subsequent continued weakness.</w:t>
      </w:r>
    </w:p>
    <w:p>
      <w:pPr>
        <w:pStyle w:val="ListBullet"/>
        <w:ind w:left="360" w:hanging="360"/>
      </w:pPr>
      <w:r>
        <w:rPr>
          <w:rFonts w:ascii="Calibri" w:hAnsi="Calibri"/>
          <w:b/>
          <w:color w:val="525866"/>
          <w:sz w:val="22"/>
        </w:rPr>
        <w:t>May 18, 2026 — Annual Shareholder Meeting (8-K):</w:t>
      </w:r>
      <w:r>
        <w:rPr>
          <w:rFonts w:ascii="Calibri" w:hAnsi="Calibri"/>
          <w:color w:val="525866"/>
          <w:sz w:val="22"/>
        </w:rPr>
        <w:t xml:space="preserve"> Shareholders re-elected the board and rejected a written consent proposal. </w:t>
      </w:r>
      <w:r>
        <w:rPr>
          <w:rFonts w:ascii="Calibri" w:hAnsi="Calibri"/>
          <w:i/>
          <w:color w:val="525866"/>
          <w:sz w:val="22"/>
        </w:rPr>
        <w:t>Implication:</w:t>
      </w:r>
      <w:r>
        <w:rPr>
          <w:rFonts w:ascii="Calibri" w:hAnsi="Calibri"/>
          <w:color w:val="525866"/>
          <w:sz w:val="22"/>
        </w:rPr>
        <w:t xml:space="preserve"> No governance disruption; board continuity supports the ongoing strategic realignment under CEO Donohue.</w:t>
      </w:r>
    </w:p>
    <w:p>
      <w:pPr>
        <w:pStyle w:val="ListBullet"/>
        <w:ind w:left="360" w:hanging="360"/>
      </w:pPr>
      <w:r>
        <w:rPr>
          <w:rFonts w:ascii="Calibri" w:hAnsi="Calibri"/>
          <w:b/>
          <w:color w:val="525866"/>
          <w:sz w:val="22"/>
        </w:rPr>
        <w:t>May 1, 2026 — Q1 2026 Earnings + Strategic Realignment Announcement (8-K):</w:t>
      </w:r>
      <w:r>
        <w:rPr>
          <w:rFonts w:ascii="Calibri" w:hAnsi="Calibri"/>
          <w:color w:val="525866"/>
          <w:sz w:val="22"/>
        </w:rPr>
        <w:t xml:space="preserve"> Record Q1 results ($728.9M revenue, $3.70 adj. EPS), ~20% workforce reduction, definitive agreement to sell Cboe Canada and Cboe Australia to TMX Group, and full-year guidance raised substantially. </w:t>
      </w:r>
      <w:r>
        <w:rPr>
          <w:rFonts w:ascii="Calibri" w:hAnsi="Calibri"/>
          <w:i/>
          <w:color w:val="525866"/>
          <w:sz w:val="22"/>
        </w:rPr>
        <w:t>Implication:</w:t>
      </w:r>
      <w:r>
        <w:rPr>
          <w:rFonts w:ascii="Calibri" w:hAnsi="Calibri"/>
          <w:color w:val="525866"/>
          <w:sz w:val="22"/>
        </w:rPr>
        <w:t xml:space="preserve"> The foundational event for the current quarter — sets a high bar but also demonstrates management's execution credibility.</w:t>
      </w:r>
    </w:p>
    <w:p>
      <w:pPr>
        <w:pStyle w:val="ListBullet"/>
        <w:ind w:left="360" w:hanging="360"/>
      </w:pPr>
      <w:r>
        <w:rPr>
          <w:rFonts w:ascii="Calibri" w:hAnsi="Calibri"/>
          <w:b/>
          <w:color w:val="525866"/>
          <w:sz w:val="22"/>
        </w:rPr>
        <w:t>Ongoing — Event Contracts / Binary Options Regulatory Approval:</w:t>
      </w:r>
      <w:r>
        <w:rPr>
          <w:rFonts w:ascii="Calibri" w:hAnsi="Calibri"/>
          <w:color w:val="525866"/>
          <w:sz w:val="22"/>
        </w:rPr>
        <w:t xml:space="preserve"> ORF reform expected in summer 2026 to provide pricing flexibility for new event contracts. Nasdaq received FCC approval for event options in Q2 and is targeting Q4 2026 launch. CME reported 525M event contracts launched with ADV up 40% vs. Q1. </w:t>
      </w:r>
      <w:r>
        <w:rPr>
          <w:rFonts w:ascii="Calibri" w:hAnsi="Calibri"/>
          <w:i/>
          <w:color w:val="525866"/>
          <w:sz w:val="22"/>
        </w:rPr>
        <w:t>Implication:</w:t>
      </w:r>
      <w:r>
        <w:rPr>
          <w:rFonts w:ascii="Calibri" w:hAnsi="Calibri"/>
          <w:color w:val="525866"/>
          <w:sz w:val="22"/>
        </w:rPr>
        <w:t xml:space="preserve"> Competitive dynamics in event/prediction markets are intensifying; CBOE's regulatory timeline is a key watch item on the Q2 call.</w:t>
      </w:r>
    </w:p>
    <w:p>
      <w:r>
        <w:br w:type="page"/>
      </w:r>
    </w:p>
    <w:p>
      <w:pPr>
        <w:pStyle w:val="Heading2"/>
      </w:pPr>
      <w:r>
        <w:rPr>
          <w:rFonts w:ascii="Calibri" w:hAnsi="Calibri"/>
          <w:b/>
          <w:color w:val="3B4259"/>
          <w:sz w:val="28"/>
        </w:rPr>
        <w:t>7. Peer Commentaries — Q2 2026 Read-Through</w:t>
      </w:r>
    </w:p>
    <w:p>
      <w:r>
        <w:rPr>
          <w:rFonts w:ascii="Calibri" w:hAnsi="Calibri"/>
          <w:b/>
          <w:color w:val="525866"/>
          <w:sz w:val="22"/>
        </w:rPr>
        <w:t xml:space="preserve">Key Takeaway: </w:t>
      </w:r>
      <w:r>
        <w:rPr>
          <w:rFonts w:ascii="Calibri" w:hAnsi="Calibri"/>
          <w:color w:val="525866"/>
          <w:sz w:val="22"/>
        </w:rPr>
        <w:t xml:space="preserve">Peer Q2 2026 earnings calls delivered a </w:t>
      </w:r>
      <w:r>
        <w:rPr>
          <w:rFonts w:ascii="Calibri" w:hAnsi="Calibri"/>
          <w:b/>
          <w:color w:val="525866"/>
          <w:sz w:val="22"/>
        </w:rPr>
        <w:t>strongly positive read-through</w:t>
      </w:r>
      <w:r>
        <w:rPr>
          <w:rFonts w:ascii="Calibri" w:hAnsi="Calibri"/>
          <w:color w:val="525866"/>
          <w:sz w:val="22"/>
        </w:rPr>
        <w:t xml:space="preserve"> for CBOE — record industry options volumes, record index options volumes, and robust market data demand were confirmed across CME, Nasdaq, SPGI, ICE, and MSCI. The macro backdrop (Middle East volatility, AI-driven data demand, extended trading hours) is broadly favorable for CBOE's core businesses. The primary risk flagged by peers is </w:t>
      </w:r>
      <w:r>
        <w:rPr>
          <w:rFonts w:ascii="Calibri" w:hAnsi="Calibri"/>
          <w:b/>
          <w:color w:val="525866"/>
          <w:sz w:val="22"/>
        </w:rPr>
        <w:t>RPC mix shift</w:t>
      </w:r>
      <w:r>
        <w:rPr>
          <w:rFonts w:ascii="Calibri" w:hAnsi="Calibri"/>
          <w:color w:val="525866"/>
          <w:sz w:val="22"/>
        </w:rPr>
        <w:t xml:space="preserve"> in multi-listed options and the competitive dynamics around event/prediction markets.</w:t>
      </w:r>
    </w:p>
    <w:p>
      <w:pPr>
        <w:pStyle w:val="Heading3"/>
      </w:pPr>
      <w:r>
        <w:rPr>
          <w:rFonts w:ascii="Calibri" w:hAnsi="Calibri"/>
          <w:b/>
          <w:color w:val="3B4259"/>
          <w:sz w:val="24"/>
        </w:rPr>
        <w:t>CME Group (CME) — Q2 2026 Earnings Call (July 22, 2026)</w:t>
      </w:r>
    </w:p>
    <w:p>
      <w:pPr>
        <w:pStyle w:val="ListBullet"/>
        <w:ind w:left="360" w:hanging="360"/>
      </w:pPr>
      <w:r>
        <w:rPr>
          <w:rFonts w:ascii="Calibri" w:hAnsi="Calibri"/>
          <w:b/>
          <w:color w:val="525866"/>
          <w:sz w:val="22"/>
        </w:rPr>
        <w:t xml:space="preserve">Record-adjacent volumes: </w:t>
      </w:r>
      <w:r>
        <w:rPr>
          <w:rFonts w:ascii="Calibri" w:hAnsi="Calibri"/>
          <w:color w:val="525866"/>
          <w:sz w:val="22"/>
        </w:rPr>
        <w:t xml:space="preserve">CME Q2 ADV of 29.8M contracts was the second-highest Q2 in history, within 1% of the record. H1 2026 volume was 10% ahead of last year with open interest up 8%. July volume is tracking 18% ahead of last year. </w:t>
      </w:r>
      <w:r>
        <w:rPr>
          <w:rFonts w:ascii="Calibri" w:hAnsi="Calibri"/>
          <w:i/>
          <w:color w:val="525866"/>
          <w:sz w:val="22"/>
        </w:rPr>
        <w:t>Read-through:</w:t>
      </w:r>
      <w:r>
        <w:rPr>
          <w:rFonts w:ascii="Calibri" w:hAnsi="Calibri"/>
          <w:color w:val="525866"/>
          <w:sz w:val="22"/>
        </w:rPr>
        <w:t xml:space="preserve"> Confirms a robust derivatives trading environment heading into CBOE's Q2 print; strong open interest growth signals structural engagement, not just episodic volatility spikes.</w:t>
      </w:r>
    </w:p>
    <w:p>
      <w:pPr>
        <w:pStyle w:val="ListBullet"/>
        <w:ind w:left="360" w:hanging="360"/>
      </w:pPr>
      <w:r>
        <w:rPr>
          <w:rFonts w:ascii="Calibri" w:hAnsi="Calibri"/>
          <w:b/>
          <w:color w:val="525866"/>
          <w:sz w:val="22"/>
        </w:rPr>
        <w:t xml:space="preserve">Market data revenue record: </w:t>
      </w:r>
      <w:r>
        <w:rPr>
          <w:rFonts w:ascii="Calibri" w:hAnsi="Calibri"/>
          <w:color w:val="525866"/>
          <w:sz w:val="22"/>
        </w:rPr>
        <w:t xml:space="preserve">CME market data revenue rose 20% to $238M, marking 33 consecutive quarters of YoY growth and the 8th consecutive record quarter. </w:t>
      </w:r>
      <w:r>
        <w:rPr>
          <w:rFonts w:ascii="Calibri" w:hAnsi="Calibri"/>
          <w:i/>
          <w:color w:val="525866"/>
          <w:sz w:val="22"/>
        </w:rPr>
        <w:t>Read-through:</w:t>
      </w:r>
      <w:r>
        <w:rPr>
          <w:rFonts w:ascii="Calibri" w:hAnsi="Calibri"/>
          <w:color w:val="525866"/>
          <w:sz w:val="22"/>
        </w:rPr>
        <w:t xml:space="preserve"> Directly positive for CBOE's Data Vantage segment, which is guided to low-double-digit organic growth in FY 2026. Institutional demand for real-time benchmark data is accelerating.</w:t>
      </w:r>
    </w:p>
    <w:p>
      <w:pPr>
        <w:pStyle w:val="ListBullet"/>
        <w:ind w:left="360" w:hanging="360"/>
      </w:pPr>
      <w:r>
        <w:rPr>
          <w:rFonts w:ascii="Calibri" w:hAnsi="Calibri"/>
          <w:b/>
          <w:color w:val="525866"/>
          <w:sz w:val="22"/>
        </w:rPr>
        <w:t xml:space="preserve">Single stock futures launch: </w:t>
      </w:r>
      <w:r>
        <w:rPr>
          <w:rFonts w:ascii="Calibri" w:hAnsi="Calibri"/>
          <w:color w:val="525866"/>
          <w:sz w:val="22"/>
        </w:rPr>
        <w:t xml:space="preserve">CME launched financially-settled single stock futures with 35+ retail partners targeting day-one readiness. </w:t>
      </w:r>
      <w:r>
        <w:rPr>
          <w:rFonts w:ascii="Calibri" w:hAnsi="Calibri"/>
          <w:i/>
          <w:color w:val="525866"/>
          <w:sz w:val="22"/>
        </w:rPr>
        <w:t>Read-through:</w:t>
      </w:r>
      <w:r>
        <w:rPr>
          <w:rFonts w:ascii="Calibri" w:hAnsi="Calibri"/>
          <w:color w:val="525866"/>
          <w:sz w:val="22"/>
        </w:rPr>
        <w:t xml:space="preserve"> Potential competitive dynamic for CBOE's single-name options franchise, though CBOE has articulated clear differentiation (cash settlement, no early exercise risk, diversified exposure). Watch for management commentary on competitive response.</w:t>
      </w:r>
    </w:p>
    <w:p>
      <w:pPr>
        <w:pStyle w:val="ListBullet"/>
        <w:ind w:left="360" w:hanging="360"/>
      </w:pPr>
      <w:r>
        <w:rPr>
          <w:rFonts w:ascii="Calibri" w:hAnsi="Calibri"/>
          <w:b/>
          <w:color w:val="525866"/>
          <w:sz w:val="22"/>
        </w:rPr>
        <w:t xml:space="preserve">Event/prediction markets: </w:t>
      </w:r>
      <w:r>
        <w:rPr>
          <w:rFonts w:ascii="Calibri" w:hAnsi="Calibri"/>
          <w:color w:val="525866"/>
          <w:sz w:val="22"/>
        </w:rPr>
        <w:t xml:space="preserve">CME reported 525M event contracts launched, 140K+ accounts trading, ADV up 40% vs. Q1. CEO Duffy was dismissive of sports prediction markets as "gambling" but constructive on market-event contracts. </w:t>
      </w:r>
      <w:r>
        <w:rPr>
          <w:rFonts w:ascii="Calibri" w:hAnsi="Calibri"/>
          <w:i/>
          <w:color w:val="525866"/>
          <w:sz w:val="22"/>
        </w:rPr>
        <w:t>Read-through:</w:t>
      </w:r>
      <w:r>
        <w:rPr>
          <w:rFonts w:ascii="Calibri" w:hAnsi="Calibri"/>
          <w:color w:val="525866"/>
          <w:sz w:val="22"/>
        </w:rPr>
        <w:t xml:space="preserve"> CBOE is still awaiting regulatory approval for its binary options/event contracts; CME's traction validates the market opportunity but also highlights the competitive urgency.</w:t>
      </w:r>
    </w:p>
    <w:p>
      <w:pPr>
        <w:pStyle w:val="ListBullet"/>
        <w:ind w:left="360" w:hanging="360"/>
      </w:pPr>
      <w:r>
        <w:rPr>
          <w:rFonts w:ascii="Calibri" w:hAnsi="Calibri"/>
          <w:b/>
          <w:color w:val="525866"/>
          <w:sz w:val="22"/>
        </w:rPr>
        <w:t xml:space="preserve">Perpetual futures: </w:t>
      </w:r>
      <w:r>
        <w:rPr>
          <w:rFonts w:ascii="Calibri" w:hAnsi="Calibri"/>
          <w:color w:val="525866"/>
          <w:sz w:val="22"/>
        </w:rPr>
        <w:t xml:space="preserve">CME stated perpetuals "function much more like leveraged spot products" and are not appropriate for institutional risk managers (94% of CME volume). CME holds exclusive rights to list futures on S&amp;P, Dow Jones, Nasdaq, and Russell indices. </w:t>
      </w:r>
      <w:r>
        <w:rPr>
          <w:rFonts w:ascii="Calibri" w:hAnsi="Calibri"/>
          <w:i/>
          <w:color w:val="525866"/>
          <w:sz w:val="22"/>
        </w:rPr>
        <w:t>Read-through:</w:t>
      </w:r>
      <w:r>
        <w:rPr>
          <w:rFonts w:ascii="Calibri" w:hAnsi="Calibri"/>
          <w:color w:val="525866"/>
          <w:sz w:val="22"/>
        </w:rPr>
        <w:t xml:space="preserve"> Supportive of CBOE's SPX franchise differentiation; the institutional market is not migrating to perpetuals.</w:t>
      </w:r>
    </w:p>
    <w:p>
      <w:pPr>
        <w:pStyle w:val="Heading3"/>
      </w:pPr>
      <w:r>
        <w:rPr>
          <w:rFonts w:ascii="Calibri" w:hAnsi="Calibri"/>
          <w:b/>
          <w:color w:val="3B4259"/>
          <w:sz w:val="24"/>
        </w:rPr>
        <w:t>Nasdaq (NDAQ) — Q2 2026 Earnings Call (July 23, 2026)</w:t>
      </w:r>
    </w:p>
    <w:p>
      <w:pPr>
        <w:pStyle w:val="ListBullet"/>
        <w:ind w:left="360" w:hanging="360"/>
      </w:pPr>
      <w:r>
        <w:rPr>
          <w:rFonts w:ascii="Calibri" w:hAnsi="Calibri"/>
          <w:b/>
          <w:color w:val="525866"/>
          <w:sz w:val="22"/>
        </w:rPr>
        <w:t xml:space="preserve">Record industry options volumes: </w:t>
      </w:r>
      <w:r>
        <w:rPr>
          <w:rFonts w:ascii="Calibri" w:hAnsi="Calibri"/>
          <w:color w:val="525866"/>
          <w:sz w:val="22"/>
        </w:rPr>
        <w:t xml:space="preserve">Nasdaq reported "record industry volumes in U.S. options and U.S. cash equities" in Q2 2026, with record derivatives contract volumes up 33% in the quarter. Index options revenue more than doubled YoY for the fourth consecutive quarter. </w:t>
      </w:r>
      <w:r>
        <w:rPr>
          <w:rFonts w:ascii="Calibri" w:hAnsi="Calibri"/>
          <w:i/>
          <w:color w:val="525866"/>
          <w:sz w:val="22"/>
        </w:rPr>
        <w:t>Read-through:</w:t>
      </w:r>
      <w:r>
        <w:rPr>
          <w:rFonts w:ascii="Calibri" w:hAnsi="Calibri"/>
          <w:color w:val="525866"/>
          <w:sz w:val="22"/>
        </w:rPr>
        <w:t xml:space="preserve"> The single most direct positive read-through for CBOE — record industry options volumes directly benefit CBOE's Options segment, which accounts for ~65% of net revenue.</w:t>
      </w:r>
    </w:p>
    <w:p>
      <w:pPr>
        <w:pStyle w:val="ListBullet"/>
        <w:ind w:left="360" w:hanging="360"/>
      </w:pPr>
      <w:r>
        <w:rPr>
          <w:rFonts w:ascii="Calibri" w:hAnsi="Calibri"/>
          <w:b/>
          <w:color w:val="525866"/>
          <w:sz w:val="22"/>
        </w:rPr>
        <w:t xml:space="preserve">Short-dated options adoption: </w:t>
      </w:r>
      <w:r>
        <w:rPr>
          <w:rFonts w:ascii="Calibri" w:hAnsi="Calibri"/>
          <w:color w:val="525866"/>
          <w:sz w:val="22"/>
        </w:rPr>
        <w:t xml:space="preserve">Nasdaq cited "strong adoption of newly launched short-dated options products" as a key driver of index options revenue doubling. Volume growth outside the U.S. was "very similar to growth in the US." </w:t>
      </w:r>
      <w:r>
        <w:rPr>
          <w:rFonts w:ascii="Calibri" w:hAnsi="Calibri"/>
          <w:i/>
          <w:color w:val="525866"/>
          <w:sz w:val="22"/>
        </w:rPr>
        <w:t>Read-through:</w:t>
      </w:r>
      <w:r>
        <w:rPr>
          <w:rFonts w:ascii="Calibri" w:hAnsi="Calibri"/>
          <w:color w:val="525866"/>
          <w:sz w:val="22"/>
        </w:rPr>
        <w:t xml:space="preserve"> Validates the structural 0DTE/short-dated options trend that is CBOE's primary growth engine. International adoption is also accelerating, consistent with CBOE's Asia Pacific broker onboarding narrative.</w:t>
      </w:r>
    </w:p>
    <w:p>
      <w:pPr>
        <w:pStyle w:val="ListBullet"/>
        <w:ind w:left="360" w:hanging="360"/>
      </w:pPr>
      <w:r>
        <w:rPr>
          <w:rFonts w:ascii="Calibri" w:hAnsi="Calibri"/>
          <w:b/>
          <w:color w:val="525866"/>
          <w:sz w:val="22"/>
        </w:rPr>
        <w:t xml:space="preserve">Record market events: </w:t>
      </w:r>
      <w:r>
        <w:rPr>
          <w:rFonts w:ascii="Calibri" w:hAnsi="Calibri"/>
          <w:color w:val="525866"/>
          <w:sz w:val="22"/>
        </w:rPr>
        <w:t xml:space="preserve">June 18 triple-witching recorded $296B notional (largest ever); Russell reconstitution on June 26 set records with $334B notional (more than triple the prior record). </w:t>
      </w:r>
      <w:r>
        <w:rPr>
          <w:rFonts w:ascii="Calibri" w:hAnsi="Calibri"/>
          <w:i/>
          <w:color w:val="525866"/>
          <w:sz w:val="22"/>
        </w:rPr>
        <w:t>Read-through:</w:t>
      </w:r>
      <w:r>
        <w:rPr>
          <w:rFonts w:ascii="Calibri" w:hAnsi="Calibri"/>
          <w:color w:val="525866"/>
          <w:sz w:val="22"/>
        </w:rPr>
        <w:t xml:space="preserve"> These events drive elevated SPX options volumes on CBOE; the scale of the June 26 Russell reconstitution is particularly notable as a potential Q2 volume tailwind.</w:t>
      </w:r>
    </w:p>
    <w:p>
      <w:pPr>
        <w:pStyle w:val="ListBullet"/>
        <w:ind w:left="360" w:hanging="360"/>
      </w:pPr>
      <w:r>
        <w:rPr>
          <w:rFonts w:ascii="Calibri" w:hAnsi="Calibri"/>
          <w:b/>
          <w:color w:val="525866"/>
          <w:sz w:val="22"/>
        </w:rPr>
        <w:t xml:space="preserve">RPC mix shift headwind: </w:t>
      </w:r>
      <w:r>
        <w:rPr>
          <w:rFonts w:ascii="Calibri" w:hAnsi="Calibri"/>
          <w:color w:val="525866"/>
          <w:sz w:val="22"/>
        </w:rPr>
        <w:t xml:space="preserve">Nasdaq noted lower capture in U.S. options "driven by continued mix shift in the composition of order flow." </w:t>
      </w:r>
      <w:r>
        <w:rPr>
          <w:rFonts w:ascii="Calibri" w:hAnsi="Calibri"/>
          <w:i/>
          <w:color w:val="525866"/>
          <w:sz w:val="22"/>
        </w:rPr>
        <w:t>Read-through:</w:t>
      </w:r>
      <w:r>
        <w:rPr>
          <w:rFonts w:ascii="Calibri" w:hAnsi="Calibri"/>
          <w:color w:val="525866"/>
          <w:sz w:val="22"/>
        </w:rPr>
        <w:t xml:space="preserve"> A direct risk for CBOE's multi-listed options RPC, which consensus already expects to decline to $0.064 in Q2 from $0.080 in Q1. Watch for management commentary on whether the mix shift is stabilizing.</w:t>
      </w:r>
    </w:p>
    <w:p>
      <w:pPr>
        <w:pStyle w:val="ListBullet"/>
        <w:ind w:left="360" w:hanging="360"/>
      </w:pPr>
      <w:r>
        <w:rPr>
          <w:rFonts w:ascii="Calibri" w:hAnsi="Calibri"/>
          <w:b/>
          <w:color w:val="525866"/>
          <w:sz w:val="22"/>
        </w:rPr>
        <w:t xml:space="preserve">Event options approval: </w:t>
      </w:r>
      <w:r>
        <w:rPr>
          <w:rFonts w:ascii="Calibri" w:hAnsi="Calibri"/>
          <w:color w:val="525866"/>
          <w:sz w:val="22"/>
        </w:rPr>
        <w:t xml:space="preserve">Nasdaq received FCC approval to list event options and is on track for Q4 2026 launch. </w:t>
      </w:r>
      <w:r>
        <w:rPr>
          <w:rFonts w:ascii="Calibri" w:hAnsi="Calibri"/>
          <w:i/>
          <w:color w:val="525866"/>
          <w:sz w:val="22"/>
        </w:rPr>
        <w:t>Read-through:</w:t>
      </w:r>
      <w:r>
        <w:rPr>
          <w:rFonts w:ascii="Calibri" w:hAnsi="Calibri"/>
          <w:color w:val="525866"/>
          <w:sz w:val="22"/>
        </w:rPr>
        <w:t xml:space="preserve"> Competitive pressure on CBOE's event contracts timeline; CBOE needs to move quickly to establish first-mover advantage in securities-based binary options.</w:t>
      </w:r>
    </w:p>
    <w:p>
      <w:pPr>
        <w:pStyle w:val="ListBullet"/>
        <w:ind w:left="360" w:hanging="360"/>
      </w:pPr>
      <w:r>
        <w:rPr>
          <w:rFonts w:ascii="Calibri" w:hAnsi="Calibri"/>
          <w:b/>
          <w:color w:val="525866"/>
          <w:sz w:val="22"/>
        </w:rPr>
        <w:t xml:space="preserve">23.5 trading on track: </w:t>
      </w:r>
      <w:r>
        <w:rPr>
          <w:rFonts w:ascii="Calibri" w:hAnsi="Calibri"/>
          <w:color w:val="525866"/>
          <w:sz w:val="22"/>
        </w:rPr>
        <w:t xml:space="preserve">Nasdaq confirmed December 6, 2026 launch for 23.5 trading. </w:t>
      </w:r>
      <w:r>
        <w:rPr>
          <w:rFonts w:ascii="Calibri" w:hAnsi="Calibri"/>
          <w:i/>
          <w:color w:val="525866"/>
          <w:sz w:val="22"/>
        </w:rPr>
        <w:t>Read-through:</w:t>
      </w:r>
      <w:r>
        <w:rPr>
          <w:rFonts w:ascii="Calibri" w:hAnsi="Calibri"/>
          <w:color w:val="525866"/>
          <w:sz w:val="22"/>
        </w:rPr>
        <w:t xml:space="preserve"> Consistent with CBOE's own 24x5 roadmap for equities by late 2026; extended hours is becoming an industry-wide initiative rather than a differentiator.</w:t>
      </w:r>
    </w:p>
    <w:p>
      <w:pPr>
        <w:pStyle w:val="Heading3"/>
      </w:pPr>
      <w:r>
        <w:rPr>
          <w:rFonts w:ascii="Calibri" w:hAnsi="Calibri"/>
          <w:b/>
          <w:color w:val="3B4259"/>
          <w:sz w:val="24"/>
        </w:rPr>
        <w:t>S&amp;P Global (SPGI) — Q2 2026 Earnings Call (July 28, 2026)</w:t>
      </w:r>
    </w:p>
    <w:p>
      <w:pPr>
        <w:pStyle w:val="ListBullet"/>
        <w:ind w:left="360" w:hanging="360"/>
      </w:pPr>
      <w:r>
        <w:rPr>
          <w:rFonts w:ascii="Calibri" w:hAnsi="Calibri"/>
          <w:b/>
          <w:color w:val="525866"/>
          <w:sz w:val="22"/>
        </w:rPr>
        <w:t xml:space="preserve">SPX derivatives volumes surged: </w:t>
      </w:r>
      <w:r>
        <w:rPr>
          <w:rFonts w:ascii="Calibri" w:hAnsi="Calibri"/>
          <w:color w:val="525866"/>
          <w:sz w:val="22"/>
        </w:rPr>
        <w:t xml:space="preserve">S&amp;P Dow Jones Indices reported Q2 revenue growth of 20% YoY, with exchange-traded derivatives revenue up 22% "driven by strong volumes, particularly in SPX data." The Indices division achieved its 13th consecutive record quarter and surpassed $2B in trailing 12-month revenue. </w:t>
      </w:r>
      <w:r>
        <w:rPr>
          <w:rFonts w:ascii="Calibri" w:hAnsi="Calibri"/>
          <w:i/>
          <w:color w:val="525866"/>
          <w:sz w:val="22"/>
        </w:rPr>
        <w:t>Read-through:</w:t>
      </w:r>
      <w:r>
        <w:rPr>
          <w:rFonts w:ascii="Calibri" w:hAnsi="Calibri"/>
          <w:color w:val="525866"/>
          <w:sz w:val="22"/>
        </w:rPr>
        <w:t xml:space="preserve"> The most direct positive read-through for CBOE's index options segment — SPGI's royalty revenue from SPX derivatives is a direct function of CBOE's SPX options volumes. 22% ETD revenue growth implies robust Q2 SPX ADV.</w:t>
      </w:r>
    </w:p>
    <w:p>
      <w:pPr>
        <w:pStyle w:val="ListBullet"/>
        <w:ind w:left="360" w:hanging="360"/>
      </w:pPr>
      <w:r>
        <w:rPr>
          <w:rFonts w:ascii="Calibri" w:hAnsi="Calibri"/>
          <w:b/>
          <w:color w:val="525866"/>
          <w:sz w:val="22"/>
        </w:rPr>
        <w:t xml:space="preserve">SPGI raises Indices guidance: </w:t>
      </w:r>
      <w:r>
        <w:rPr>
          <w:rFonts w:ascii="Calibri" w:hAnsi="Calibri"/>
          <w:color w:val="525866"/>
          <w:sz w:val="22"/>
        </w:rPr>
        <w:t xml:space="preserve">SPGI raised FY 2026 Indices segment revenue growth guidance to 12–14% (up 2 percentage points from prior guide). </w:t>
      </w:r>
      <w:r>
        <w:rPr>
          <w:rFonts w:ascii="Calibri" w:hAnsi="Calibri"/>
          <w:i/>
          <w:color w:val="525866"/>
          <w:sz w:val="22"/>
        </w:rPr>
        <w:t>Read-through:</w:t>
      </w:r>
      <w:r>
        <w:rPr>
          <w:rFonts w:ascii="Calibri" w:hAnsi="Calibri"/>
          <w:color w:val="525866"/>
          <w:sz w:val="22"/>
        </w:rPr>
        <w:t xml:space="preserve"> Upward revision in SPGI's Indices guidance is a leading indicator for CBOE's SPX options revenue trajectory for the remainder of 2026.</w:t>
      </w:r>
    </w:p>
    <w:p>
      <w:pPr>
        <w:pStyle w:val="ListBullet"/>
        <w:ind w:left="360" w:hanging="360"/>
      </w:pPr>
      <w:r>
        <w:rPr>
          <w:rFonts w:ascii="Calibri" w:hAnsi="Calibri"/>
          <w:b/>
          <w:color w:val="525866"/>
          <w:sz w:val="22"/>
        </w:rPr>
        <w:t xml:space="preserve">Licensing renewal overhang — key risk: </w:t>
      </w:r>
      <w:r>
        <w:rPr>
          <w:rFonts w:ascii="Calibri" w:hAnsi="Calibri"/>
          <w:color w:val="525866"/>
          <w:sz w:val="22"/>
        </w:rPr>
        <w:t xml:space="preserve">An analyst on the SPGI call flagged that the S&amp;P/Cboe licensing relationship generates &gt;$200M/year and raised investor concerns about the upcoming renewal. SPGI CEO declined to comment on partner conversations. </w:t>
      </w:r>
      <w:r>
        <w:rPr>
          <w:rFonts w:ascii="Calibri" w:hAnsi="Calibri"/>
          <w:i/>
          <w:color w:val="525866"/>
          <w:sz w:val="22"/>
        </w:rPr>
        <w:t>Read-through:</w:t>
      </w:r>
      <w:r>
        <w:rPr>
          <w:rFonts w:ascii="Calibri" w:hAnsi="Calibri"/>
          <w:color w:val="525866"/>
          <w:sz w:val="22"/>
        </w:rPr>
        <w:t xml:space="preserve"> This is the most important risk item for CBOE investors. The SPX franchise is the company's crown jewel and the license is its foundation. Management will almost certainly be asked about this on the Q2 call; any color on renewal timeline or terms would be a significant catalyst.</w:t>
      </w:r>
    </w:p>
    <w:p>
      <w:pPr>
        <w:pStyle w:val="ListBullet"/>
        <w:ind w:left="360" w:hanging="360"/>
      </w:pPr>
      <w:r>
        <w:rPr>
          <w:rFonts w:ascii="Calibri" w:hAnsi="Calibri"/>
          <w:b/>
          <w:color w:val="525866"/>
          <w:sz w:val="22"/>
        </w:rPr>
        <w:t xml:space="preserve">Volatility environment: </w:t>
      </w:r>
      <w:r>
        <w:rPr>
          <w:rFonts w:ascii="Calibri" w:hAnsi="Calibri"/>
          <w:color w:val="525866"/>
          <w:sz w:val="22"/>
        </w:rPr>
        <w:t xml:space="preserve">SPGI noted "continued volatility and uncertainty" in Q2 due to the Middle East conflict (Iran war), while acknowledging that "extreme energy volatility can actually have a dampening effect on the market" as participants "pull back and sit on the sidelines." </w:t>
      </w:r>
      <w:r>
        <w:rPr>
          <w:rFonts w:ascii="Calibri" w:hAnsi="Calibri"/>
          <w:i/>
          <w:color w:val="525866"/>
          <w:sz w:val="22"/>
        </w:rPr>
        <w:t>Read-through:</w:t>
      </w:r>
      <w:r>
        <w:rPr>
          <w:rFonts w:ascii="Calibri" w:hAnsi="Calibri"/>
          <w:color w:val="525866"/>
          <w:sz w:val="22"/>
        </w:rPr>
        <w:t xml:space="preserve"> Mixed signal for CBOE — elevated volatility generally drives options demand, but extreme/sustained volatility can reduce participation. The net effect on Q2 SPX volumes will be a key data point.</w:t>
      </w:r>
    </w:p>
    <w:p>
      <w:pPr>
        <w:pStyle w:val="ListBullet"/>
        <w:ind w:left="360" w:hanging="360"/>
      </w:pPr>
      <w:r>
        <w:rPr>
          <w:rFonts w:ascii="Calibri" w:hAnsi="Calibri"/>
          <w:b/>
          <w:color w:val="525866"/>
          <w:sz w:val="22"/>
        </w:rPr>
        <w:t xml:space="preserve">S&amp;P 500 ETF surpasses $1T AUM: </w:t>
      </w:r>
      <w:r>
        <w:rPr>
          <w:rFonts w:ascii="Calibri" w:hAnsi="Calibri"/>
          <w:color w:val="525866"/>
          <w:sz w:val="22"/>
        </w:rPr>
        <w:t xml:space="preserve">June 2026 marked the first ETF to surpass $1T in AUM, based on the S&amp;P 500. </w:t>
      </w:r>
      <w:r>
        <w:rPr>
          <w:rFonts w:ascii="Calibri" w:hAnsi="Calibri"/>
          <w:i/>
          <w:color w:val="525866"/>
          <w:sz w:val="22"/>
        </w:rPr>
        <w:t>Read-through:</w:t>
      </w:r>
      <w:r>
        <w:rPr>
          <w:rFonts w:ascii="Calibri" w:hAnsi="Calibri"/>
          <w:color w:val="525866"/>
          <w:sz w:val="22"/>
        </w:rPr>
        <w:t xml:space="preserve"> Growing S&amp;P 500 AUM drives demand for SPX options as a hedging tool, supporting the structural growth thesis for CBOE's index options franchise.</w:t>
      </w:r>
    </w:p>
    <w:p>
      <w:pPr>
        <w:pStyle w:val="Heading3"/>
      </w:pPr>
      <w:r>
        <w:rPr>
          <w:rFonts w:ascii="Calibri" w:hAnsi="Calibri"/>
          <w:b/>
          <w:color w:val="3B4259"/>
          <w:sz w:val="24"/>
        </w:rPr>
        <w:t>Intercontinental Exchange (ICE) — Q2 2026 Earnings Call (July 30, 2026)</w:t>
      </w:r>
    </w:p>
    <w:p>
      <w:pPr>
        <w:pStyle w:val="ListBullet"/>
        <w:ind w:left="360" w:hanging="360"/>
      </w:pPr>
      <w:r>
        <w:rPr>
          <w:rFonts w:ascii="Calibri" w:hAnsi="Calibri"/>
          <w:b/>
          <w:color w:val="525866"/>
          <w:sz w:val="22"/>
        </w:rPr>
        <w:t xml:space="preserve">Exceptional Q2 results: </w:t>
      </w:r>
      <w:r>
        <w:rPr>
          <w:rFonts w:ascii="Calibri" w:hAnsi="Calibri"/>
          <w:color w:val="525866"/>
          <w:sz w:val="22"/>
        </w:rPr>
        <w:t xml:space="preserve">ICE reported Q2 adjusted EPS of $1.90 (second-quarter record, second-best quarter in history), net revenues of $2.7B (+5%), and recurring revenues of $1.4B (+8%, record). </w:t>
      </w:r>
      <w:r>
        <w:rPr>
          <w:rFonts w:ascii="Calibri" w:hAnsi="Calibri"/>
          <w:i/>
          <w:color w:val="525866"/>
          <w:sz w:val="22"/>
        </w:rPr>
        <w:t>Read-through:</w:t>
      </w:r>
      <w:r>
        <w:rPr>
          <w:rFonts w:ascii="Calibri" w:hAnsi="Calibri"/>
          <w:color w:val="525866"/>
          <w:sz w:val="22"/>
        </w:rPr>
        <w:t xml:space="preserve"> Broad-based strength across the exchange complex confirms a favorable operating environment for CBOE's Q2 print.</w:t>
      </w:r>
    </w:p>
    <w:p>
      <w:pPr>
        <w:pStyle w:val="ListBullet"/>
        <w:ind w:left="360" w:hanging="360"/>
      </w:pPr>
      <w:r>
        <w:rPr>
          <w:rFonts w:ascii="Calibri" w:hAnsi="Calibri"/>
          <w:b/>
          <w:color w:val="525866"/>
          <w:sz w:val="22"/>
        </w:rPr>
        <w:t xml:space="preserve">Futures and options open interest up 20% YoY: </w:t>
      </w:r>
      <w:r>
        <w:rPr>
          <w:rFonts w:ascii="Calibri" w:hAnsi="Calibri"/>
          <w:color w:val="525866"/>
          <w:sz w:val="22"/>
        </w:rPr>
        <w:t xml:space="preserve">ICE reported total futures and options open interest up 20% YoY, "signaling the structural engagement we saw in the first quarter is carrying forward." </w:t>
      </w:r>
      <w:r>
        <w:rPr>
          <w:rFonts w:ascii="Calibri" w:hAnsi="Calibri"/>
          <w:i/>
          <w:color w:val="525866"/>
          <w:sz w:val="22"/>
        </w:rPr>
        <w:t>Read-through:</w:t>
      </w:r>
      <w:r>
        <w:rPr>
          <w:rFonts w:ascii="Calibri" w:hAnsi="Calibri"/>
          <w:color w:val="525866"/>
          <w:sz w:val="22"/>
        </w:rPr>
        <w:t xml:space="preserve"> Rising open interest is a proxy for structural demand growth in derivatives — directly positive for CBOE's index and multi-listed options businesses.</w:t>
      </w:r>
    </w:p>
    <w:p>
      <w:pPr>
        <w:pStyle w:val="ListBullet"/>
        <w:ind w:left="360" w:hanging="360"/>
      </w:pPr>
      <w:r>
        <w:rPr>
          <w:rFonts w:ascii="Calibri" w:hAnsi="Calibri"/>
          <w:b/>
          <w:color w:val="525866"/>
          <w:sz w:val="22"/>
        </w:rPr>
        <w:t xml:space="preserve">Rates business exceptional: </w:t>
      </w:r>
      <w:r>
        <w:rPr>
          <w:rFonts w:ascii="Calibri" w:hAnsi="Calibri"/>
          <w:color w:val="525866"/>
          <w:sz w:val="22"/>
        </w:rPr>
        <w:t xml:space="preserve">ICE rates business grew 24% YoY; Euribor options set a new all-time high; open interest in rates franchise reached a record 53M contracts (+50% YoY). </w:t>
      </w:r>
      <w:r>
        <w:rPr>
          <w:rFonts w:ascii="Calibri" w:hAnsi="Calibri"/>
          <w:i/>
          <w:color w:val="525866"/>
          <w:sz w:val="22"/>
        </w:rPr>
        <w:t>Read-through:</w:t>
      </w:r>
      <w:r>
        <w:rPr>
          <w:rFonts w:ascii="Calibri" w:hAnsi="Calibri"/>
          <w:color w:val="525866"/>
          <w:sz w:val="22"/>
        </w:rPr>
        <w:t xml:space="preserve"> While ICE's rates franchise is distinct from CBOE's equity derivatives, the record engagement signals broad institutional risk management demand that benefits the entire exchange sector.</w:t>
      </w:r>
    </w:p>
    <w:p>
      <w:pPr>
        <w:pStyle w:val="ListBullet"/>
        <w:ind w:left="360" w:hanging="360"/>
      </w:pPr>
      <w:r>
        <w:rPr>
          <w:rFonts w:ascii="Calibri" w:hAnsi="Calibri"/>
          <w:b/>
          <w:color w:val="525866"/>
          <w:sz w:val="22"/>
        </w:rPr>
        <w:t xml:space="preserve">Market data user base up 10% YoY: </w:t>
      </w:r>
      <w:r>
        <w:rPr>
          <w:rFonts w:ascii="Calibri" w:hAnsi="Calibri"/>
          <w:color w:val="525866"/>
          <w:sz w:val="22"/>
        </w:rPr>
        <w:t xml:space="preserve">ICE's market data user base grew 10% YoY. ICE raised FY 2026 exchange recurring revenue growth guidance to high-single-digit range. </w:t>
      </w:r>
      <w:r>
        <w:rPr>
          <w:rFonts w:ascii="Calibri" w:hAnsi="Calibri"/>
          <w:i/>
          <w:color w:val="525866"/>
          <w:sz w:val="22"/>
        </w:rPr>
        <w:t>Read-through:</w:t>
      </w:r>
      <w:r>
        <w:rPr>
          <w:rFonts w:ascii="Calibri" w:hAnsi="Calibri"/>
          <w:color w:val="525866"/>
          <w:sz w:val="22"/>
        </w:rPr>
        <w:t xml:space="preserve"> Consistent with the broader market data demand theme; supportive of CBOE's Data Vantage low-double-digit growth guidance.</w:t>
      </w:r>
    </w:p>
    <w:p>
      <w:pPr>
        <w:pStyle w:val="ListBullet"/>
        <w:ind w:left="360" w:hanging="360"/>
      </w:pPr>
      <w:r>
        <w:rPr>
          <w:rFonts w:ascii="Calibri" w:hAnsi="Calibri"/>
          <w:b/>
          <w:color w:val="525866"/>
          <w:sz w:val="22"/>
        </w:rPr>
        <w:t xml:space="preserve">ICE acquires Market Access for $5.7B: </w:t>
      </w:r>
      <w:r>
        <w:rPr>
          <w:rFonts w:ascii="Calibri" w:hAnsi="Calibri"/>
          <w:color w:val="525866"/>
          <w:sz w:val="22"/>
        </w:rPr>
        <w:t xml:space="preserve">ICE announced a definitive agreement to acquire Market Access for $167/share ($5.7B enterprise value, 33% premium), expected to close H1 2027 with ~$100M annualized expense synergies. </w:t>
      </w:r>
      <w:r>
        <w:rPr>
          <w:rFonts w:ascii="Calibri" w:hAnsi="Calibri"/>
          <w:i/>
          <w:color w:val="525866"/>
          <w:sz w:val="22"/>
        </w:rPr>
        <w:t>Read-through:</w:t>
      </w:r>
      <w:r>
        <w:rPr>
          <w:rFonts w:ascii="Calibri" w:hAnsi="Calibri"/>
          <w:color w:val="525866"/>
          <w:sz w:val="22"/>
        </w:rPr>
        <w:t xml:space="preserve"> Signals continued M&amp;A activity in the exchange/fintech space. CBOE has explicitly ruled out small acquisitions and set a high bar for inorganic activity, so this is more of a sector context item than a direct competitive threat.</w:t>
      </w:r>
    </w:p>
    <w:p>
      <w:pPr>
        <w:pStyle w:val="Heading3"/>
      </w:pPr>
      <w:r>
        <w:rPr>
          <w:rFonts w:ascii="Calibri" w:hAnsi="Calibri"/>
          <w:b/>
          <w:color w:val="3B4259"/>
          <w:sz w:val="24"/>
        </w:rPr>
        <w:t>MSCI Inc. (MSCI) — Q2 2026 Earnings Call (July 21, 2026)</w:t>
      </w:r>
    </w:p>
    <w:p>
      <w:pPr>
        <w:pStyle w:val="ListBullet"/>
        <w:ind w:left="360" w:hanging="360"/>
      </w:pPr>
      <w:r>
        <w:rPr>
          <w:rFonts w:ascii="Calibri" w:hAnsi="Calibri"/>
          <w:b/>
          <w:color w:val="525866"/>
          <w:sz w:val="22"/>
        </w:rPr>
        <w:t xml:space="preserve">Strong institutional demand for derivatives and structured products: </w:t>
      </w:r>
      <w:r>
        <w:rPr>
          <w:rFonts w:ascii="Calibri" w:hAnsi="Calibri"/>
          <w:color w:val="525866"/>
          <w:sz w:val="22"/>
        </w:rPr>
        <w:t xml:space="preserve">MSCI noted clients are demanding "faster, more specialized indices and structured products and derivatives in larger volumes." The "overall environment is pretty positive among hedge funds and traders and even the active managers." </w:t>
      </w:r>
      <w:r>
        <w:rPr>
          <w:rFonts w:ascii="Calibri" w:hAnsi="Calibri"/>
          <w:i/>
          <w:color w:val="525866"/>
          <w:sz w:val="22"/>
        </w:rPr>
        <w:t>Read-through:</w:t>
      </w:r>
      <w:r>
        <w:rPr>
          <w:rFonts w:ascii="Calibri" w:hAnsi="Calibri"/>
          <w:color w:val="525866"/>
          <w:sz w:val="22"/>
        </w:rPr>
        <w:t xml:space="preserve"> Institutional demand for derivatives is structurally growing, supporting CBOE's SPX options franchise. Hedge fund engagement is particularly relevant given their role as key SPX options users.</w:t>
      </w:r>
    </w:p>
    <w:p>
      <w:pPr>
        <w:pStyle w:val="ListBullet"/>
        <w:ind w:left="360" w:hanging="360"/>
      </w:pPr>
      <w:r>
        <w:rPr>
          <w:rFonts w:ascii="Calibri" w:hAnsi="Calibri"/>
          <w:b/>
          <w:color w:val="525866"/>
          <w:sz w:val="22"/>
        </w:rPr>
        <w:t xml:space="preserve">MSCI Q2 results: organic revenue growth &gt;12%, adj. EPS growth ~19%, adj. EBITDA growth 14%: </w:t>
      </w:r>
      <w:r>
        <w:rPr>
          <w:rFonts w:ascii="Calibri" w:hAnsi="Calibri"/>
          <w:color w:val="525866"/>
          <w:sz w:val="22"/>
        </w:rPr>
        <w:t xml:space="preserve">Index subscription run rate growth accelerated to &gt;11%; hedge fund subscription run rate growth of 15%; best quarter on record with 19% subscription run rate growth. </w:t>
      </w:r>
      <w:r>
        <w:rPr>
          <w:rFonts w:ascii="Calibri" w:hAnsi="Calibri"/>
          <w:i/>
          <w:color w:val="525866"/>
          <w:sz w:val="22"/>
        </w:rPr>
        <w:t>Read-through:</w:t>
      </w:r>
      <w:r>
        <w:rPr>
          <w:rFonts w:ascii="Calibri" w:hAnsi="Calibri"/>
          <w:color w:val="525866"/>
          <w:sz w:val="22"/>
        </w:rPr>
        <w:t xml:space="preserve"> MSCI's strong results confirm robust institutional engagement with index-linked products, which underpins demand for SPX options as a hedging and trading tool.</w:t>
      </w:r>
    </w:p>
    <w:p>
      <w:pPr>
        <w:pStyle w:val="ListBullet"/>
        <w:ind w:left="360" w:hanging="360"/>
      </w:pPr>
      <w:r>
        <w:rPr>
          <w:rFonts w:ascii="Calibri" w:hAnsi="Calibri"/>
          <w:b/>
          <w:color w:val="525866"/>
          <w:sz w:val="22"/>
        </w:rPr>
        <w:t xml:space="preserve">Index arbitrage strategies driving volume: </w:t>
      </w:r>
      <w:r>
        <w:rPr>
          <w:rFonts w:ascii="Calibri" w:hAnsi="Calibri"/>
          <w:color w:val="525866"/>
          <w:sz w:val="22"/>
        </w:rPr>
        <w:t xml:space="preserve">MSCI highlighted that "30%+ of AUM of ETFs linked to MSCI indices are non-market cap" and that index arbitrage strategies are generating substantial profits for trading firms. </w:t>
      </w:r>
      <w:r>
        <w:rPr>
          <w:rFonts w:ascii="Calibri" w:hAnsi="Calibri"/>
          <w:i/>
          <w:color w:val="525866"/>
          <w:sz w:val="22"/>
        </w:rPr>
        <w:t>Read-through:</w:t>
      </w:r>
      <w:r>
        <w:rPr>
          <w:rFonts w:ascii="Calibri" w:hAnsi="Calibri"/>
          <w:color w:val="525866"/>
          <w:sz w:val="22"/>
        </w:rPr>
        <w:t xml:space="preserve"> Index arbitrage and rebalancing activity drives options volume on CBOE, particularly around quarter-end rebalancing events. The scale of this activity is growing.</w:t>
      </w:r>
    </w:p>
    <w:p>
      <w:pPr>
        <w:pStyle w:val="ListBullet"/>
        <w:ind w:left="360" w:hanging="360"/>
      </w:pPr>
      <w:r>
        <w:rPr>
          <w:rFonts w:ascii="Calibri" w:hAnsi="Calibri"/>
          <w:b/>
          <w:color w:val="525866"/>
          <w:sz w:val="22"/>
        </w:rPr>
        <w:t xml:space="preserve">Trading ecosystem described as 'secular and structural': </w:t>
      </w:r>
      <w:r>
        <w:rPr>
          <w:rFonts w:ascii="Calibri" w:hAnsi="Calibri"/>
          <w:color w:val="525866"/>
          <w:sz w:val="22"/>
        </w:rPr>
        <w:t xml:space="preserve">MSCI CEO Henry Fernandez described the trading and liquidity ecosystem as "very secular and very structural" — not a "yo-yo" — and stated MSCI is in the "first 2 or 3 innings" of the demand cycle with hedge funds and traders. </w:t>
      </w:r>
      <w:r>
        <w:rPr>
          <w:rFonts w:ascii="Calibri" w:hAnsi="Calibri"/>
          <w:i/>
          <w:color w:val="525866"/>
          <w:sz w:val="22"/>
        </w:rPr>
        <w:t>Read-through:</w:t>
      </w:r>
      <w:r>
        <w:rPr>
          <w:rFonts w:ascii="Calibri" w:hAnsi="Calibri"/>
          <w:color w:val="525866"/>
          <w:sz w:val="22"/>
        </w:rPr>
        <w:t xml:space="preserve"> Supports the long-term structural growth thesis for CBOE's derivatives franchise; the demand for index-linked trading tools is not cyclical.</w:t>
      </w:r>
    </w:p>
    <w:p>
      <w:pPr>
        <w:pStyle w:val="ListBullet"/>
        <w:ind w:left="360" w:hanging="360"/>
      </w:pPr>
      <w:r>
        <w:rPr>
          <w:rFonts w:ascii="Calibri" w:hAnsi="Calibri"/>
          <w:b/>
          <w:color w:val="525866"/>
          <w:sz w:val="22"/>
        </w:rPr>
        <w:t xml:space="preserve">MSCI bullish on H2 2026 outlook: </w:t>
      </w:r>
      <w:r>
        <w:rPr>
          <w:rFonts w:ascii="Calibri" w:hAnsi="Calibri"/>
          <w:color w:val="525866"/>
          <w:sz w:val="22"/>
        </w:rPr>
        <w:t xml:space="preserve">MSCI stated it is "pretty bullish on our outlook" with a "very good pipeline in the next few quarters" and voluntarily increased expense guidance to invest more in the business. </w:t>
      </w:r>
      <w:r>
        <w:rPr>
          <w:rFonts w:ascii="Calibri" w:hAnsi="Calibri"/>
          <w:i/>
          <w:color w:val="525866"/>
          <w:sz w:val="22"/>
        </w:rPr>
        <w:t>Read-through:</w:t>
      </w:r>
      <w:r>
        <w:rPr>
          <w:rFonts w:ascii="Calibri" w:hAnsi="Calibri"/>
          <w:color w:val="525866"/>
          <w:sz w:val="22"/>
        </w:rPr>
        <w:t xml:space="preserve"> A constructive forward-looking signal from a key data/index provider; the willingness to invest more reflects confidence in the underlying market environment.</w:t>
      </w:r>
    </w:p>
    <w:p>
      <w:r>
        <w:rPr>
          <w:rFonts w:ascii="Calibri" w:hAnsi="Calibri"/>
          <w:b/>
          <w:color w:val="525866"/>
          <w:sz w:val="22"/>
        </w:rPr>
        <w:t xml:space="preserve">Peer Read-Through Summary: </w:t>
      </w:r>
      <w:r>
        <w:rPr>
          <w:rFonts w:ascii="Calibri" w:hAnsi="Calibri"/>
          <w:color w:val="525866"/>
          <w:sz w:val="22"/>
        </w:rPr>
        <w:t xml:space="preserve">The aggregate signal from Q2 2026 peer earnings is </w:t>
      </w:r>
      <w:r>
        <w:rPr>
          <w:rFonts w:ascii="Calibri" w:hAnsi="Calibri"/>
          <w:b/>
          <w:color w:val="525866"/>
          <w:sz w:val="22"/>
        </w:rPr>
        <w:t>strongly positive</w:t>
      </w:r>
      <w:r>
        <w:rPr>
          <w:rFonts w:ascii="Calibri" w:hAnsi="Calibri"/>
          <w:color w:val="525866"/>
          <w:sz w:val="22"/>
        </w:rPr>
        <w:t xml:space="preserve"> for CBOE. Record industry options volumes (NDAQ), record index options revenue doubling (NDAQ), 22% SPX ETD revenue growth (SPGI), 20% open interest growth (ICE), and robust institutional demand for derivatives (MSCI) all point to a favorable Q2 environment for CBOE's core businesses. The primary risks are: (1) RPC mix shift in multi-listed options (flagged by NDAQ); (2) the SPGI licensing renewal overhang (surfaced on SPGI call); and (3) competitive dynamics in event/prediction markets (CME, NDAQ both advancing). On balance, the peer read-through supports a beat scenario for CBOE's Q2 print.</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Insider activity since the Q1 2026 earnings date is </w:t>
      </w:r>
      <w:r>
        <w:rPr>
          <w:rFonts w:ascii="Calibri" w:hAnsi="Calibri"/>
          <w:b/>
          <w:color w:val="525866"/>
          <w:sz w:val="22"/>
        </w:rPr>
        <w:t>minimal and unremarkable</w:t>
      </w:r>
      <w:r>
        <w:rPr>
          <w:rFonts w:ascii="Calibri" w:hAnsi="Calibri"/>
          <w:color w:val="525866"/>
          <w:sz w:val="22"/>
        </w:rPr>
        <w:t xml:space="preserve"> — only one transaction was filed, a 10b5-1 planned sale by a director, which carries no discretionary signal. The absence of open-market buying despite the stock's ~37% drawdown from its May peak is notable but not alarming given the 10b5-1 plan context.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Froetscher, Janet P.</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1,223 shares</w:t>
            </w:r>
          </w:p>
        </w:tc>
        <w:tc>
          <w:tcPr>
            <w:tcW w:type="dxa" w:w="1440"/>
          </w:tcPr>
          <w:p>
            <w:r>
              <w:rPr>
                <w:rFonts w:ascii="Calibri" w:hAnsi="Calibri"/>
                <w:sz w:val="22"/>
              </w:rPr>
              <w:t>May 18, 2026</w:t>
            </w:r>
          </w:p>
        </w:tc>
        <w:tc>
          <w:tcPr>
            <w:tcW w:type="dxa" w:w="1440"/>
          </w:tcPr>
          <w:p>
            <w:r>
              <w:rPr>
                <w:rFonts w:ascii="Calibri" w:hAnsi="Calibri"/>
                <w:sz w:val="22"/>
              </w:rPr>
              <w:t>Pre-planned 10b5-1 sale; not discretionary. Filed May 20, 2026. 13,807 shares retained post-transaction.</w:t>
            </w:r>
          </w:p>
        </w:tc>
      </w:tr>
    </w:tbl>
    <w:p>
      <w:r>
        <w:rPr>
          <w:rFonts w:ascii="Calibri" w:hAnsi="Calibri"/>
          <w:i/>
          <w:color w:val="525866"/>
          <w:sz w:val="22"/>
        </w:rPr>
        <w:t>Source: SEC Form 4 Filings Database (Insider Transaction Data).</w:t>
      </w:r>
    </w:p>
    <w:p>
      <w:r>
        <w:rPr>
          <w:rFonts w:ascii="Calibri" w:hAnsi="Calibri"/>
          <w:color w:val="525866"/>
          <w:sz w:val="22"/>
        </w:rPr>
        <w:t>Only one insider transaction was filed in the period from May 1, 2026 (Q1 earnings) through July 30, 2026: a 10b5-1 planned sale by Director Janet Froetscher of 1,223 shares on May 18, 2026. This transaction is obligation-driven under a pre-established trading plan and carries no discretionary signal. No open-market purchases or discretionary sales were filed by any officer or director during this period. The absence of insider buying during the stock's sharp June–July pullback (from ~$366 to ~$231) is worth noting, though it is common for insiders to be in blackout periods ahead of earnings and may also reflect the 10b5-1 plan structure limiting discretionary activity.</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