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CBRE before writing the preview. Let me start by gathering recent filings, earnings materials, and news.Let me read the most recent earnings materials (Q1 2026 release and call) and the year-ago Q2 2025 call for context.Let me get the year-ago Q2 2025 results for comparison context and recent stock performance/news.I have strong fundamental data. Let me quickly check for current analyst expectations/consensus and any very recent news.I now have everything I need. Let me write the preview.</w:t>
      </w:r>
    </w:p>
    <w:bookmarkStart w:id="20" w:name="Xa1e60a19af092a00fde1b19c42fdfe7380a04c8"/>
    <w:p>
      <w:pPr>
        <w:pStyle w:val="Heading1"/>
      </w:pPr>
      <w:r>
        <w:t xml:space="preserve">CBRE Group (NYSE: CBRE) — Q2 2026 Earnings Preview</w:t>
      </w:r>
    </w:p>
    <w:p>
      <w:pPr>
        <w:pStyle w:val="FirstParagraph"/>
      </w:pPr>
      <w:r>
        <w:rPr>
          <w:b/>
          <w:bCs/>
        </w:rPr>
        <w:t xml:space="preserve">Report date:</w:t>
      </w:r>
      <w:r>
        <w:t xml:space="preserve"> </w:t>
      </w:r>
      <w:r>
        <w:t xml:space="preserve">Wednesday, July 29, 2026 (before market open) · Conference call 8:30 a.m. ET</w:t>
      </w:r>
      <w:r>
        <w:t xml:space="preserve"> </w:t>
      </w:r>
      <w:r>
        <w:rPr>
          <w:b/>
          <w:bCs/>
        </w:rPr>
        <w:t xml:space="preserve">Price into the print:</w:t>
      </w:r>
      <w:r>
        <w:t xml:space="preserve"> </w:t>
      </w:r>
      <w:r>
        <w:t xml:space="preserve">~</w:t>
      </w:r>
      <m:oMath>
        <m:r>
          <m:t>147</m:t>
        </m:r>
        <m:r>
          <m:rPr>
            <m:sty m:val="p"/>
          </m:rPr>
          <m:t>(</m:t>
        </m:r>
        <m:r>
          <m:t>J</m:t>
        </m:r>
        <m:r>
          <m:t>u</m:t>
        </m:r>
        <m:r>
          <m:t>l</m:t>
        </m:r>
        <m:r>
          <m:t>y</m:t>
        </m:r>
        <m:r>
          <m:t>28</m:t>
        </m:r>
        <m:r>
          <m:t>c</m:t>
        </m:r>
        <m:r>
          <m:t>l</m:t>
        </m:r>
        <m:r>
          <m:t>o</m:t>
        </m:r>
        <m:r>
          <m:t>s</m:t>
        </m:r>
        <m:r>
          <m:t>e</m:t>
        </m:r>
        <m:r>
          <m:rPr>
            <m:sty m:val="p"/>
          </m:rPr>
          <m:t>)</m:t>
        </m:r>
        <m:r>
          <m:rPr>
            <m:sty m:val="p"/>
          </m:rPr>
          <m:t>·</m:t>
        </m:r>
        <m:r>
          <m:t>M</m:t>
        </m:r>
        <m:r>
          <m:t>a</m:t>
        </m:r>
        <m:r>
          <m:t>r</m:t>
        </m:r>
        <m:r>
          <m:t>k</m:t>
        </m:r>
        <m:r>
          <m:t>e</m:t>
        </m:r>
        <m:r>
          <m:t>t</m:t>
        </m:r>
        <m:r>
          <m:t>c</m:t>
        </m:r>
        <m:r>
          <m:t>a</m:t>
        </m:r>
        <m:r>
          <m:t>p</m:t>
        </m:r>
        <m:r>
          <m:t> </m:t>
        </m:r>
      </m:oMath>
      <w:r>
        <w:t xml:space="preserve">40B</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CBRE enters this print with strong operating momentum but a stock that has spent 2026 in the penalty box. The company is coming off a blowout Q1 (core EPS $1.61 vs. a</w:t>
      </w:r>
      <w:r>
        <w:t xml:space="preserve"> </w:t>
      </w:r>
      <m:oMath>
        <m:r>
          <m:t>1.13</m:t>
        </m:r>
        <m:r>
          <m:t>S</m:t>
        </m:r>
        <m:r>
          <m:t>t</m:t>
        </m:r>
        <m:r>
          <m:t>r</m:t>
        </m:r>
        <m:r>
          <m:t>e</m:t>
        </m:r>
        <m:r>
          <m:t>e</m:t>
        </m:r>
        <m:r>
          <m:t>t</m:t>
        </m:r>
        <m:r>
          <m:t>n</m:t>
        </m:r>
        <m:r>
          <m:t>u</m:t>
        </m:r>
        <m:r>
          <m:t>m</m:t>
        </m:r>
        <m:r>
          <m:t>b</m:t>
        </m:r>
        <m:r>
          <m:t>e</m:t>
        </m:r>
        <m:r>
          <m:t>r</m:t>
        </m:r>
        <m:r>
          <m:rPr>
            <m:sty m:val="p"/>
          </m:rPr>
          <m:t>,</m:t>
        </m:r>
        <m:r>
          <m:t>a</m:t>
        </m:r>
        <m:r>
          <m:t> </m:t>
        </m:r>
        <m:r>
          <m:t>42</m:t>
        </m:r>
      </m:oMath>
      <w:r>
        <w:t xml:space="preserve">7.60–$7.80** (&gt;20% growth at the midpoint) — yet shares are still down modestly year-to-date and sit ~14% below their January highs. The disconnect is the story: the market is discounting fundamentals because of a narrative overhang around AI disintermediation of brokerage/advisory. Q2 is the next referee call on whether the fundamentals (data-center/infrastructure supercycle, recovering capital markets) or the fears win out.</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2026E (consensus)</w:t>
            </w:r>
          </w:p>
        </w:tc>
        <w:tc>
          <w:tcPr/>
          <w:p>
            <w:pPr>
              <w:pStyle w:val="Compact"/>
            </w:pPr>
            <w:r>
              <w:t xml:space="preserve">Q2 2025 actual</w:t>
            </w:r>
          </w:p>
        </w:tc>
        <w:tc>
          <w:tcPr/>
          <w:p>
            <w:pPr>
              <w:pStyle w:val="Compact"/>
            </w:pPr>
            <w:r>
              <w:t xml:space="preserve">Implied Y/Y</w:t>
            </w:r>
          </w:p>
        </w:tc>
      </w:tr>
      <w:tr>
        <w:tc>
          <w:tcPr/>
          <w:p>
            <w:pPr>
              <w:pStyle w:val="Compact"/>
            </w:pPr>
            <w:r>
              <w:t xml:space="preserve">Core EPS</w:t>
            </w:r>
          </w:p>
        </w:tc>
        <w:tc>
          <w:tcPr/>
          <w:p>
            <w:pPr>
              <w:pStyle w:val="Compact"/>
            </w:pPr>
            <w:r>
              <w:t xml:space="preserve">~</w:t>
            </w:r>
            <m:oMath>
              <m:r>
                <m:t>1.49</m:t>
              </m:r>
              <m:r>
                <m:rPr>
                  <m:sty m:val="p"/>
                </m:rPr>
                <m:t>–</m:t>
              </m:r>
            </m:oMath>
            <w:r>
              <w:rPr>
                <w:b/>
                <w:bCs/>
              </w:rPr>
              <w:t xml:space="preserve">1.50</w:t>
            </w:r>
          </w:p>
        </w:tc>
        <w:tc>
          <w:tcPr/>
          <w:p>
            <w:pPr>
              <w:pStyle w:val="Compact"/>
            </w:pPr>
            <w:r>
              <w:t xml:space="preserve">$1.19</w:t>
            </w:r>
          </w:p>
        </w:tc>
        <w:tc>
          <w:tcPr/>
          <w:p>
            <w:pPr>
              <w:pStyle w:val="Compact"/>
            </w:pPr>
            <w:r>
              <w:rPr>
                <w:b/>
                <w:bCs/>
              </w:rPr>
              <w:t xml:space="preserve">+25–26%</w:t>
            </w:r>
          </w:p>
        </w:tc>
      </w:tr>
      <w:tr>
        <w:tc>
          <w:tcPr/>
          <w:p>
            <w:pPr>
              <w:pStyle w:val="Compact"/>
            </w:pPr>
            <w:r>
              <w:t xml:space="preserve">Revenue</w:t>
            </w:r>
          </w:p>
        </w:tc>
        <w:tc>
          <w:tcPr/>
          <w:p>
            <w:pPr>
              <w:pStyle w:val="Compact"/>
            </w:pPr>
            <w:r>
              <w:t xml:space="preserve">~</w:t>
            </w:r>
            <w:r>
              <w:rPr>
                <w:b/>
                <w:bCs/>
              </w:rPr>
              <w:t xml:space="preserve">$11.2B</w:t>
            </w:r>
            <w:r>
              <w:t xml:space="preserve"> </w:t>
            </w:r>
            <w:r>
              <w:t xml:space="preserve">(Zacks)</w:t>
            </w:r>
          </w:p>
        </w:tc>
        <w:tc>
          <w:tcPr/>
          <w:p>
            <w:pPr>
              <w:pStyle w:val="Compact"/>
            </w:pPr>
            <w:r>
              <w:t xml:space="preserve">$9.75B*</w:t>
            </w:r>
          </w:p>
        </w:tc>
        <w:tc>
          <w:tcPr/>
          <w:p>
            <w:pPr>
              <w:pStyle w:val="Compact"/>
            </w:pPr>
            <w:r>
              <w:t xml:space="preserve">~+14%</w:t>
            </w:r>
          </w:p>
        </w:tc>
      </w:tr>
      <w:tr>
        <w:tc>
          <w:tcPr/>
          <w:p>
            <w:pPr>
              <w:pStyle w:val="Compact"/>
            </w:pPr>
            <w:r>
              <w:t xml:space="preserve">Core EBITDA</w:t>
            </w:r>
          </w:p>
        </w:tc>
        <w:tc>
          <w:tcPr/>
          <w:p>
            <w:pPr>
              <w:pStyle w:val="Compact"/>
            </w:pPr>
            <w:r>
              <w:t xml:space="preserve">—</w:t>
            </w:r>
          </w:p>
        </w:tc>
        <w:tc>
          <w:tcPr/>
          <w:p>
            <w:pPr>
              <w:pStyle w:val="Compact"/>
            </w:pPr>
            <w:r>
              <w:t xml:space="preserve">$658M</w:t>
            </w:r>
          </w:p>
        </w:tc>
        <w:tc>
          <w:tcPr/>
          <w:p>
            <w:pPr>
              <w:pStyle w:val="Compact"/>
            </w:pPr>
            <w:r>
              <w:t xml:space="preserve">—</w:t>
            </w:r>
          </w:p>
        </w:tc>
      </w:tr>
    </w:tbl>
    <w:p>
      <w:pPr>
        <w:pStyle w:val="BodyText"/>
      </w:pPr>
      <w:r>
        <w:t xml:space="preserve">*Prior-year revenue is not directly comparable — see "Comparability" below.</w:t>
      </w:r>
    </w:p>
    <w:p>
      <w:pPr>
        <w:pStyle w:val="Compact"/>
        <w:numPr>
          <w:ilvl w:val="0"/>
          <w:numId w:val="1001"/>
        </w:numPr>
      </w:pPr>
      <w:r>
        <w:rPr>
          <w:b/>
          <w:bCs/>
        </w:rPr>
        <w:t xml:space="preserve">Beat streak:</w:t>
      </w:r>
      <w:r>
        <w:t xml:space="preserve"> </w:t>
      </w:r>
      <w:r>
        <w:t xml:space="preserve">CBRE has topped consensus EPS in each of the last four quarters, with an average beat of ~17% and a +42% surprise last quarter. Expectations for a beat are effectively baked in.</w:t>
      </w:r>
    </w:p>
    <w:p>
      <w:pPr>
        <w:pStyle w:val="Compact"/>
        <w:numPr>
          <w:ilvl w:val="0"/>
          <w:numId w:val="1001"/>
        </w:numPr>
      </w:pPr>
      <w:r>
        <w:rPr>
          <w:b/>
          <w:bCs/>
        </w:rPr>
        <w:t xml:space="preserve">Guidance math check:</w:t>
      </w:r>
      <w:r>
        <w:t xml:space="preserve"> </w:t>
      </w:r>
      <w:r>
        <w:t xml:space="preserve">On the Q1 call, management said it expects</w:t>
      </w:r>
      <w:r>
        <w:t xml:space="preserve"> </w:t>
      </w:r>
      <w:r>
        <w:rPr>
          <w:b/>
          <w:bCs/>
        </w:rPr>
        <w:t xml:space="preserve">~40% of full-year EPS in the first half</w:t>
      </w:r>
      <w:r>
        <w:t xml:space="preserve"> </w:t>
      </w:r>
      <w:r>
        <w:t xml:space="preserve">(unusually front-loaded). At the</w:t>
      </w:r>
      <w:r>
        <w:t xml:space="preserve"> </w:t>
      </w:r>
      <m:oMath>
        <m:r>
          <m:t>7.70</m:t>
        </m:r>
        <m:r>
          <m:t>m</m:t>
        </m:r>
        <m:r>
          <m:t>i</m:t>
        </m:r>
        <m:r>
          <m:t>d</m:t>
        </m:r>
        <m:r>
          <m:t>p</m:t>
        </m:r>
        <m:r>
          <m:t>o</m:t>
        </m:r>
        <m:r>
          <m:t>i</m:t>
        </m:r>
        <m:r>
          <m:t>n</m:t>
        </m:r>
        <m:r>
          <m:t>t</m:t>
        </m:r>
        <m:r>
          <m:rPr>
            <m:sty m:val="p"/>
          </m:rPr>
          <m:t>,</m:t>
        </m:r>
        <m:r>
          <m:t>t</m:t>
        </m:r>
        <m:r>
          <m:t>h</m:t>
        </m:r>
        <m:r>
          <m:t>a</m:t>
        </m:r>
        <m:r>
          <m:t>t</m:t>
        </m:r>
        <m:r>
          <m:t>i</m:t>
        </m:r>
        <m:r>
          <m:t>m</m:t>
        </m:r>
        <m:r>
          <m:t>p</m:t>
        </m:r>
        <m:r>
          <m:t>l</m:t>
        </m:r>
        <m:r>
          <m:t>i</m:t>
        </m:r>
        <m:r>
          <m:t>e</m:t>
        </m:r>
        <m:r>
          <m:t>s</m:t>
        </m:r>
        <m:r>
          <m:t> </m:t>
        </m:r>
      </m:oMath>
      <w:r>
        <w:t xml:space="preserve">3.08 in H1; with Q1 at</w:t>
      </w:r>
      <w:r>
        <w:t xml:space="preserve"> </w:t>
      </w:r>
      <m:oMath>
        <m:r>
          <m:t>1.61</m:t>
        </m:r>
        <m:r>
          <m:rPr>
            <m:sty m:val="p"/>
          </m:rPr>
          <m:t>,</m:t>
        </m:r>
        <m:r>
          <m:t>t</m:t>
        </m:r>
        <m:r>
          <m:t>h</m:t>
        </m:r>
        <m:r>
          <m:t>e</m:t>
        </m:r>
        <m:r>
          <m:rPr>
            <m:sty m:val="p"/>
          </m:rPr>
          <m:t>*</m:t>
        </m:r>
        <m:r>
          <m:rPr>
            <m:sty m:val="p"/>
          </m:rPr>
          <m:t>*</m:t>
        </m:r>
        <m:r>
          <m:t>g</m:t>
        </m:r>
        <m:r>
          <m:t>u</m:t>
        </m:r>
        <m:r>
          <m:t>i</m:t>
        </m:r>
        <m:r>
          <m:t>d</m:t>
        </m:r>
        <m:r>
          <m:t>a</m:t>
        </m:r>
        <m:r>
          <m:t>n</m:t>
        </m:r>
        <m:r>
          <m:t>c</m:t>
        </m:r>
        <m:r>
          <m:t>e</m:t>
        </m:r>
        <m:r>
          <m:rPr>
            <m:sty m:val="p"/>
          </m:rPr>
          <m:t>−</m:t>
        </m:r>
        <m:r>
          <m:t>i</m:t>
        </m:r>
        <m:r>
          <m:t>m</m:t>
        </m:r>
        <m:r>
          <m:t>p</m:t>
        </m:r>
        <m:r>
          <m:t>l</m:t>
        </m:r>
        <m:r>
          <m:t>i</m:t>
        </m:r>
        <m:r>
          <m:t>e</m:t>
        </m:r>
        <m:r>
          <m:t>d</m:t>
        </m:r>
        <m:r>
          <m:t>Q</m:t>
        </m:r>
        <m:r>
          <m:t>2</m:t>
        </m:r>
        <m:r>
          <m:t>i</m:t>
        </m:r>
        <m:r>
          <m:t>s</m:t>
        </m:r>
        <m:r>
          <m:t> </m:t>
        </m:r>
      </m:oMath>
      <w:r>
        <w:t xml:space="preserve">1.47** — right in line with the ~$1.49 Street number. So consensus is essentially assuming management's own framework holds, with a modest beat.</w:t>
      </w:r>
    </w:p>
    <w:p>
      <w:pPr>
        <w:pStyle w:val="Compact"/>
        <w:numPr>
          <w:ilvl w:val="0"/>
          <w:numId w:val="1001"/>
        </w:numPr>
      </w:pPr>
      <w:r>
        <w:rPr>
          <w:b/>
          <w:bCs/>
        </w:rPr>
        <w:t xml:space="preserve">Sell-side positioning:</w:t>
      </w:r>
      <w:r>
        <w:t xml:space="preserve"> </w:t>
      </w:r>
      <w:r>
        <w:t xml:space="preserve">Coverage skews bullish (majority Strong Buy), average price target in the high-$170s (~25–30% upside), but note one screen flagged a slightly</w:t>
      </w:r>
      <w:r>
        <w:t xml:space="preserve"> </w:t>
      </w:r>
      <w:r>
        <w:rPr>
          <w:i/>
          <w:iCs/>
        </w:rPr>
        <w:t xml:space="preserve">negative</w:t>
      </w:r>
      <w:r>
        <w:t xml:space="preserve"> </w:t>
      </w:r>
      <w:r>
        <w:t xml:space="preserve">earnings-surprise-prediction and a small downward EPS revision into the print — i.e., some caution despite the bullish targets.</w:t>
      </w:r>
    </w:p>
    <w:p>
      <w:r>
        <w:pict>
          <v:rect style="width:0;height:1.5pt" o:hralign="center" o:hrstd="t" o:hr="t"/>
        </w:pict>
      </w:r>
    </w:p>
    <w:bookmarkEnd w:id="10"/>
    <w:bookmarkStart w:id="16" w:name="Xed46e563bc14ea4cef076ecd5e20b531b26d6f5"/>
    <w:p>
      <w:pPr>
        <w:pStyle w:val="Heading2"/>
      </w:pPr>
      <w:r>
        <w:t xml:space="preserve">The five things that actually matter this quarter</w:t>
      </w:r>
    </w:p>
    <w:bookmarkStart w:id="11" w:name="X063f836f8b991a508b9e64d47a03c1535a6323b"/>
    <w:p>
      <w:pPr>
        <w:pStyle w:val="Heading3"/>
      </w:pPr>
      <w:r>
        <w:t xml:space="preserve">1. Does management raise guidance again — and how much comes from H2?</w:t>
      </w:r>
    </w:p>
    <w:p>
      <w:pPr>
        <w:pStyle w:val="FirstParagraph"/>
      </w:pPr>
      <w:r>
        <w:t xml:space="preserve">The full-year raise to</w:t>
      </w:r>
      <w:r>
        <w:t xml:space="preserve"> </w:t>
      </w:r>
      <m:oMath>
        <m:r>
          <m:t>7.60</m:t>
        </m:r>
        <m:r>
          <m:rPr>
            <m:sty m:val="p"/>
          </m:rPr>
          <m:t>–</m:t>
        </m:r>
      </m:oMath>
      <w:r>
        <w:t xml:space="preserve">7.80 in April was constructed as</w:t>
      </w:r>
      <w:r>
        <w:t xml:space="preserve"> </w:t>
      </w:r>
      <w:r>
        <w:rPr>
          <w:b/>
          <w:bCs/>
        </w:rPr>
        <w:t xml:space="preserve">~1/3 from the Q1 beat and ~2/3 from raising the rest of the year.</w:t>
      </w:r>
      <w:r>
        <w:t xml:space="preserve"> </w:t>
      </w:r>
      <w:r>
        <w:t xml:space="preserve">Given another likely beat, the key question is whether they lift the range again or simply "bank" the beat. Management explicitly warned that</w:t>
      </w:r>
      <w:r>
        <w:t xml:space="preserve"> </w:t>
      </w:r>
      <w:r>
        <w:rPr>
          <w:b/>
          <w:bCs/>
        </w:rPr>
        <w:t xml:space="preserve">Advisory growth decelerates in H2 against tough comparisons</w:t>
      </w:r>
      <w:r>
        <w:t xml:space="preserve">, so watch the tone on the back half. A raise that flows through to H2 is the bull case; a beat-and-hold (or "the beat funds the second half") is a yellow flag for a stock priced for acceleration.</w:t>
      </w:r>
    </w:p>
    <w:bookmarkEnd w:id="11"/>
    <w:bookmarkStart w:id="12" w:name="Xf96b948a4d1605f0b529d358e8bdcd2faae5df9"/>
    <w:p>
      <w:pPr>
        <w:pStyle w:val="Heading3"/>
      </w:pPr>
      <w:r>
        <w:t xml:space="preserve">2. Capital markets momentum vs. tough comps</w:t>
      </w:r>
    </w:p>
    <w:p>
      <w:pPr>
        <w:pStyle w:val="FirstParagraph"/>
      </w:pPr>
      <w:r>
        <w:t xml:space="preserve">Q1 was exceptional: global property sales +39% LC (U.S. +64%), leasing +18% LC, mortgage origination +53%. But</w:t>
      </w:r>
      <w:r>
        <w:t xml:space="preserve"> </w:t>
      </w:r>
      <w:r>
        <w:rPr>
          <w:b/>
          <w:bCs/>
        </w:rPr>
        <w:t xml:space="preserve">Q2 2025 was already strong</w:t>
      </w:r>
      <w:r>
        <w:t xml:space="preserve"> </w:t>
      </w:r>
      <w:r>
        <w:t xml:space="preserve">(sales +20%, leasing +14%), so the comp gets harder. Management said pipelines going into Q2 were</w:t>
      </w:r>
      <w:r>
        <w:t xml:space="preserve"> </w:t>
      </w:r>
      <w:r>
        <w:rPr>
          <w:i/>
          <w:iCs/>
        </w:rPr>
        <w:t xml:space="preserve">stronger than expected</w:t>
      </w:r>
      <w:r>
        <w:t xml:space="preserve">, and reiterated that as long as the 10-year Treasury stays in the</w:t>
      </w:r>
      <w:r>
        <w:t xml:space="preserve"> </w:t>
      </w:r>
      <w:r>
        <w:rPr>
          <w:b/>
          <w:bCs/>
        </w:rPr>
        <w:t xml:space="preserve">~4.0–4.5% range</w:t>
      </w:r>
      <w:r>
        <w:t xml:space="preserve">, sales and financing activity keep growing. Watch: (a) whether U.S. investment sales stays double-digit against the tougher comp, and (b) any commentary on transaction pipelines slowing given macro/rate uncertainty — a peer flagged slowing client decision-making, though CBRE has not.</w:t>
      </w:r>
    </w:p>
    <w:bookmarkEnd w:id="12"/>
    <w:bookmarkStart w:id="13" w:name="X599ba82720614b0392f43eaccbc61cf7cb042bd"/>
    <w:p>
      <w:pPr>
        <w:pStyle w:val="Heading3"/>
      </w:pPr>
      <w:r>
        <w:t xml:space="preserve">3. The infrastructure / data-center engine (the real thesis)</w:t>
      </w:r>
    </w:p>
    <w:p>
      <w:pPr>
        <w:pStyle w:val="FirstParagraph"/>
      </w:pPr>
      <w:r>
        <w:t xml:space="preserve">This is now the growth story spanning all four segments. Management: infrastructure activities generated</w:t>
      </w:r>
      <w:r>
        <w:t xml:space="preserve"> </w:t>
      </w:r>
      <w:r>
        <w:rPr>
          <w:b/>
          <w:bCs/>
        </w:rPr>
        <w:t xml:space="preserve">&gt;</w:t>
      </w:r>
      <m:oMath>
        <m:r>
          <m:t>3</m:t>
        </m:r>
        <m:r>
          <m:t>B</m:t>
        </m:r>
        <m:r>
          <m:t>o</m:t>
        </m:r>
        <m:r>
          <m:t>f</m:t>
        </m:r>
        <m:r>
          <m:t>r</m:t>
        </m:r>
        <m:r>
          <m:t>e</m:t>
        </m:r>
        <m:r>
          <m:t>v</m:t>
        </m:r>
        <m:r>
          <m:t>e</m:t>
        </m:r>
        <m:r>
          <m:t>n</m:t>
        </m:r>
        <m:r>
          <m:t>u</m:t>
        </m:r>
        <m:r>
          <m:t>e</m:t>
        </m:r>
        <m:r>
          <m:t>i</m:t>
        </m:r>
        <m:r>
          <m:t>n</m:t>
        </m:r>
        <m:r>
          <m:t>2025</m:t>
        </m:r>
        <m:r>
          <m:t>a</m:t>
        </m:r>
        <m:r>
          <m:t>n</m:t>
        </m:r>
        <m:r>
          <m:t>d</m:t>
        </m:r>
        <m:r>
          <m:t> </m:t>
        </m:r>
      </m:oMath>
      <w:r>
        <w:rPr>
          <w:b/>
          <w:bCs/>
        </w:rPr>
        <w:t xml:space="preserve">950M in Q1 2026</w:t>
      </w:r>
      <w:r>
        <w:t xml:space="preserve">; the new</w:t>
      </w:r>
      <w:r>
        <w:t xml:space="preserve"> </w:t>
      </w:r>
      <w:r>
        <w:rPr>
          <w:b/>
          <w:bCs/>
        </w:rPr>
        <w:t xml:space="preserve">Critical Infrastructure Services</w:t>
      </w:r>
      <w:r>
        <w:t xml:space="preserve"> </w:t>
      </w:r>
      <w:r>
        <w:t xml:space="preserve">line within BOE (data centers + the Pearce telecom/power/renewables business) did $1.7B in 2025 and is guided to grow</w:t>
      </w:r>
      <w:r>
        <w:t xml:space="preserve"> </w:t>
      </w:r>
      <w:r>
        <w:rPr>
          <w:b/>
          <w:bCs/>
        </w:rPr>
        <w:t xml:space="preserve">&gt;60% this year.</w:t>
      </w:r>
      <w:r>
        <w:t xml:space="preserve"> </w:t>
      </w:r>
      <w:r>
        <w:t xml:space="preserve">Data-center leasing more than tripled Y/Y in Q1. Watch for:</w:t>
      </w:r>
    </w:p>
    <w:p>
      <w:pPr>
        <w:pStyle w:val="Compact"/>
        <w:numPr>
          <w:ilvl w:val="0"/>
          <w:numId w:val="1002"/>
        </w:numPr>
      </w:pPr>
      <w:r>
        <w:rPr>
          <w:b/>
          <w:bCs/>
        </w:rPr>
        <w:t xml:space="preserve">Pearce seasonality</w:t>
      </w:r>
      <w:r>
        <w:t xml:space="preserve"> </w:t>
      </w:r>
      <w:r>
        <w:t xml:space="preserve">— management flagged Pearce revenue is weather-driven (cell towers, wind, solar), so Q2/summer should be a seasonally</w:t>
      </w:r>
      <w:r>
        <w:t xml:space="preserve"> </w:t>
      </w:r>
      <w:r>
        <w:rPr>
          <w:i/>
          <w:iCs/>
        </w:rPr>
        <w:t xml:space="preserve">stronger</w:t>
      </w:r>
      <w:r>
        <w:t xml:space="preserve"> </w:t>
      </w:r>
      <w:r>
        <w:t xml:space="preserve">quarter for this line. A weak print here would be a surprise.</w:t>
      </w:r>
    </w:p>
    <w:p>
      <w:pPr>
        <w:pStyle w:val="Compact"/>
        <w:numPr>
          <w:ilvl w:val="0"/>
          <w:numId w:val="1002"/>
        </w:numPr>
      </w:pPr>
      <w:r>
        <w:t xml:space="preserve">Any color on the</w:t>
      </w:r>
      <w:r>
        <w:t xml:space="preserve"> </w:t>
      </w:r>
      <w:r>
        <w:rPr>
          <w:b/>
          <w:bCs/>
        </w:rPr>
        <w:t xml:space="preserve">Meta training/staffing partnership</w:t>
      </w:r>
      <w:r>
        <w:t xml:space="preserve"> </w:t>
      </w:r>
      <w:r>
        <w:t xml:space="preserve">and hiring bottlenecks ("we can't hire enough people") — a rare "demand exceeds supply" problem.</w:t>
      </w:r>
    </w:p>
    <w:bookmarkEnd w:id="13"/>
    <w:bookmarkStart w:id="14" w:name="Xea824fd80084ce20834f3f9cf47d42db215ad20"/>
    <w:p>
      <w:pPr>
        <w:pStyle w:val="Heading3"/>
      </w:pPr>
      <w:r>
        <w:t xml:space="preserve">4. Real Estate Investments — beware the pull-forward</w:t>
      </w:r>
    </w:p>
    <w:p>
      <w:pPr>
        <w:pStyle w:val="FirstParagraph"/>
      </w:pPr>
      <w:r>
        <w:t xml:space="preserve">Q1 REI SOP was $180M (vs.</w:t>
      </w:r>
      <w:r>
        <w:t xml:space="preserve"> </w:t>
      </w:r>
      <m:oMath>
        <m:r>
          <m:t>25</m:t>
        </m:r>
        <m:r>
          <m:t>M</m:t>
        </m:r>
        <m:r>
          <m:t>a</m:t>
        </m:r>
        <m:r>
          <m:t>y</m:t>
        </m:r>
        <m:r>
          <m:t>e</m:t>
        </m:r>
        <m:r>
          <m:t>a</m:t>
        </m:r>
        <m:r>
          <m:t>r</m:t>
        </m:r>
        <m:r>
          <m:t>a</m:t>
        </m:r>
        <m:r>
          <m:t>g</m:t>
        </m:r>
        <m:r>
          <m:t>o</m:t>
        </m:r>
        <m:r>
          <m:rPr>
            <m:sty m:val="p"/>
          </m:rPr>
          <m:t>)</m:t>
        </m:r>
        <m:r>
          <m:rPr>
            <m:sty m:val="p"/>
          </m:rPr>
          <m:t>,</m:t>
        </m:r>
        <m:r>
          <m:t>b</m:t>
        </m:r>
        <m:r>
          <m:t>u</m:t>
        </m:r>
        <m:r>
          <m:t>t</m:t>
        </m:r>
        <m:r>
          <m:t>t</m:t>
        </m:r>
        <m:r>
          <m:t>h</m:t>
        </m:r>
        <m:r>
          <m:t>a</m:t>
        </m:r>
        <m:r>
          <m:t>t</m:t>
        </m:r>
        <m:r>
          <m:t>w</m:t>
        </m:r>
        <m:r>
          <m:t>a</m:t>
        </m:r>
        <m:r>
          <m:t>s</m:t>
        </m:r>
        <m:r>
          <m:t>i</m:t>
        </m:r>
        <m:r>
          <m:t>n</m:t>
        </m:r>
        <m:r>
          <m:t>f</m:t>
        </m:r>
        <m:r>
          <m:t>l</m:t>
        </m:r>
        <m:r>
          <m:t>a</m:t>
        </m:r>
        <m:r>
          <m:t>t</m:t>
        </m:r>
        <m:r>
          <m:t>e</m:t>
        </m:r>
        <m:r>
          <m:t>d</m:t>
        </m:r>
        <m:r>
          <m:t>b</m:t>
        </m:r>
        <m:r>
          <m:t>y</m:t>
        </m:r>
        <m:r>
          <m:rPr>
            <m:sty m:val="p"/>
          </m:rPr>
          <m:t>*</m:t>
        </m:r>
        <m:r>
          <m:rPr>
            <m:sty m:val="p"/>
          </m:rPr>
          <m:t>*</m:t>
        </m:r>
        <m:r>
          <m:t>d</m:t>
        </m:r>
        <m:r>
          <m:t>a</m:t>
        </m:r>
        <m:r>
          <m:t>t</m:t>
        </m:r>
        <m:r>
          <m:t>a</m:t>
        </m:r>
        <m:r>
          <m:rPr>
            <m:sty m:val="p"/>
          </m:rPr>
          <m:t>−</m:t>
        </m:r>
        <m:r>
          <m:t>c</m:t>
        </m:r>
        <m:r>
          <m:t>e</m:t>
        </m:r>
        <m:r>
          <m:t>n</m:t>
        </m:r>
        <m:r>
          <m:t>t</m:t>
        </m:r>
        <m:r>
          <m:t>e</m:t>
        </m:r>
        <m:r>
          <m:t>r</m:t>
        </m:r>
        <m:r>
          <m:t>l</m:t>
        </m:r>
        <m:r>
          <m:t>a</m:t>
        </m:r>
        <m:r>
          <m:t>n</m:t>
        </m:r>
        <m:r>
          <m:t>d</m:t>
        </m:r>
        <m:r>
          <m:t>d</m:t>
        </m:r>
        <m:r>
          <m:t>e</m:t>
        </m:r>
        <m:r>
          <m:t>v</m:t>
        </m:r>
        <m:r>
          <m:t>e</m:t>
        </m:r>
        <m:r>
          <m:t>l</m:t>
        </m:r>
        <m:r>
          <m:t>o</m:t>
        </m:r>
        <m:r>
          <m:t>p</m:t>
        </m:r>
        <m:r>
          <m:t>m</m:t>
        </m:r>
        <m:r>
          <m:t>e</m:t>
        </m:r>
        <m:r>
          <m:t>n</m:t>
        </m:r>
        <m:r>
          <m:t>t</m:t>
        </m:r>
        <m:r>
          <m:t>p</m:t>
        </m:r>
        <m:r>
          <m:t>r</m:t>
        </m:r>
        <m:r>
          <m:t>o</m:t>
        </m:r>
        <m:r>
          <m:t>f</m:t>
        </m:r>
        <m:r>
          <m:t>i</m:t>
        </m:r>
        <m:r>
          <m:t>t</m:t>
        </m:r>
        <m:r>
          <m:t>s</m:t>
        </m:r>
        <m:r>
          <m:t>p</m:t>
        </m:r>
        <m:r>
          <m:t>u</m:t>
        </m:r>
        <m:r>
          <m:t>l</m:t>
        </m:r>
        <m:r>
          <m:t>l</m:t>
        </m:r>
        <m:r>
          <m:t>e</m:t>
        </m:r>
        <m:r>
          <m:t>d</m:t>
        </m:r>
        <m:r>
          <m:t>f</m:t>
        </m:r>
        <m:r>
          <m:t>o</m:t>
        </m:r>
        <m:r>
          <m:t>r</m:t>
        </m:r>
        <m:r>
          <m:t>w</m:t>
        </m:r>
        <m:r>
          <m:t>a</m:t>
        </m:r>
        <m:r>
          <m:t>r</m:t>
        </m:r>
        <m:r>
          <m:t>d</m:t>
        </m:r>
        <m:r>
          <m:t>f</m:t>
        </m:r>
        <m:r>
          <m:t>r</m:t>
        </m:r>
        <m:r>
          <m:t>o</m:t>
        </m:r>
        <m:r>
          <m:t>m</m:t>
        </m:r>
        <m:r>
          <m:t>l</m:t>
        </m:r>
        <m:r>
          <m:t>a</m:t>
        </m:r>
        <m:r>
          <m:t>t</m:t>
        </m:r>
        <m:r>
          <m:t>e</m:t>
        </m:r>
        <m:r>
          <m:t>r</m:t>
        </m:r>
        <m:r>
          <m:t>i</m:t>
        </m:r>
        <m:r>
          <m:t>n</m:t>
        </m:r>
        <m:r>
          <m:t>2026</m:t>
        </m:r>
        <m:r>
          <m:rPr>
            <m:sty m:val="p"/>
          </m:rPr>
          <m:t>.</m:t>
        </m:r>
        <m:r>
          <m:rPr>
            <m:sty m:val="p"/>
          </m:rPr>
          <m:t>*</m:t>
        </m:r>
        <m:r>
          <m:rPr>
            <m:sty m:val="p"/>
          </m:rPr>
          <m:t>*</m:t>
        </m:r>
        <m:r>
          <m:t>M</m:t>
        </m:r>
        <m:r>
          <m:t>a</m:t>
        </m:r>
        <m:r>
          <m:t>n</m:t>
        </m:r>
        <m:r>
          <m:t>a</m:t>
        </m:r>
        <m:r>
          <m:t>g</m:t>
        </m:r>
        <m:r>
          <m:t>e</m:t>
        </m:r>
        <m:r>
          <m:t>m</m:t>
        </m:r>
        <m:r>
          <m:t>e</m:t>
        </m:r>
        <m:r>
          <m:t>n</m:t>
        </m:r>
        <m:r>
          <m:t>t</m:t>
        </m:r>
        <m:r>
          <m:t>s</m:t>
        </m:r>
        <m:r>
          <m:t>a</m:t>
        </m:r>
        <m:r>
          <m:t>i</m:t>
        </m:r>
        <m:r>
          <m:t>d</m:t>
        </m:r>
        <m:r>
          <m:t>t</m:t>
        </m:r>
        <m:r>
          <m:t>h</m:t>
        </m:r>
        <m:r>
          <m:t>i</m:t>
        </m:r>
        <m:r>
          <m:t>s</m:t>
        </m:r>
        <m:r>
          <m:t>d</m:t>
        </m:r>
        <m:r>
          <m:t>o</m:t>
        </m:r>
        <m:r>
          <m:t>e</m:t>
        </m:r>
        <m:r>
          <m:t>s</m:t>
        </m:r>
        <m:r>
          <m:rPr>
            <m:sty m:val="p"/>
          </m:rPr>
          <m:t>*</m:t>
        </m:r>
        <m:r>
          <m:rPr>
            <m:sty m:val="p"/>
          </m:rPr>
          <m:t>*</m:t>
        </m:r>
        <m:r>
          <m:t>n</m:t>
        </m:r>
        <m:r>
          <m:t>o</m:t>
        </m:r>
        <m:r>
          <m:t>t</m:t>
        </m:r>
        <m:r>
          <m:rPr>
            <m:sty m:val="p"/>
          </m:rPr>
          <m:t>*</m:t>
        </m:r>
        <m:r>
          <m:rPr>
            <m:sty m:val="p"/>
          </m:rPr>
          <m:t>*</m:t>
        </m:r>
        <m:r>
          <m:t>c</m:t>
        </m:r>
        <m:r>
          <m:t>h</m:t>
        </m:r>
        <m:r>
          <m:t>a</m:t>
        </m:r>
        <m:r>
          <m:t>n</m:t>
        </m:r>
        <m:r>
          <m:t>g</m:t>
        </m:r>
        <m:r>
          <m:t>e</m:t>
        </m:r>
        <m:r>
          <m:t>f</m:t>
        </m:r>
        <m:r>
          <m:t>u</m:t>
        </m:r>
        <m:r>
          <m:t>l</m:t>
        </m:r>
        <m:r>
          <m:t>l</m:t>
        </m:r>
        <m:r>
          <m:rPr>
            <m:sty m:val="p"/>
          </m:rPr>
          <m:t>−</m:t>
        </m:r>
        <m:r>
          <m:t>y</m:t>
        </m:r>
        <m:r>
          <m:t>e</m:t>
        </m:r>
        <m:r>
          <m:t>a</m:t>
        </m:r>
        <m:r>
          <m:t>r</m:t>
        </m:r>
        <m:r>
          <m:t>R</m:t>
        </m:r>
        <m:r>
          <m:t>E</m:t>
        </m:r>
        <m:r>
          <m:t>I</m:t>
        </m:r>
        <m:r>
          <m:t>g</m:t>
        </m:r>
        <m:r>
          <m:t>u</m:t>
        </m:r>
        <m:r>
          <m:t>i</m:t>
        </m:r>
        <m:r>
          <m:t>d</m:t>
        </m:r>
        <m:r>
          <m:t>a</m:t>
        </m:r>
        <m:r>
          <m:t>n</m:t>
        </m:r>
        <m:r>
          <m:t>c</m:t>
        </m:r>
        <m:r>
          <m:t>e</m:t>
        </m:r>
        <m:r>
          <m:rPr>
            <m:sty m:val="p"/>
          </m:rPr>
          <m:t>—</m:t>
        </m:r>
        <m:r>
          <m:t>m</m:t>
        </m:r>
        <m:r>
          <m:t>e</m:t>
        </m:r>
        <m:r>
          <m:t>a</m:t>
        </m:r>
        <m:r>
          <m:t>n</m:t>
        </m:r>
        <m:r>
          <m:t>i</m:t>
        </m:r>
        <m:r>
          <m:t>n</m:t>
        </m:r>
        <m:r>
          <m:t>g</m:t>
        </m:r>
        <m:r>
          <m:rPr>
            <m:sty m:val="p"/>
          </m:rPr>
          <m:t>*</m:t>
        </m:r>
        <m:r>
          <m:rPr>
            <m:sty m:val="p"/>
          </m:rPr>
          <m:t>*</m:t>
        </m:r>
        <m:r>
          <m:t>Q</m:t>
        </m:r>
        <m:r>
          <m:t>2</m:t>
        </m:r>
        <m:r>
          <m:rPr>
            <m:sty m:val="p"/>
          </m:rPr>
          <m:t>/</m:t>
        </m:r>
        <m:r>
          <m:t>H</m:t>
        </m:r>
        <m:r>
          <m:t>2</m:t>
        </m:r>
        <m:r>
          <m:t>R</m:t>
        </m:r>
        <m:r>
          <m:t>E</m:t>
        </m:r>
        <m:r>
          <m:t>I</m:t>
        </m:r>
        <m:r>
          <m:t>s</m:t>
        </m:r>
        <m:r>
          <m:t>h</m:t>
        </m:r>
        <m:r>
          <m:t>o</m:t>
        </m:r>
        <m:r>
          <m:t>u</m:t>
        </m:r>
        <m:r>
          <m:t>l</m:t>
        </m:r>
        <m:r>
          <m:t>d</m:t>
        </m:r>
        <m:r>
          <m:t>b</m:t>
        </m:r>
        <m:r>
          <m:t>e</m:t>
        </m:r>
        <m:r>
          <m:t>l</m:t>
        </m:r>
        <m:r>
          <m:t>i</m:t>
        </m:r>
        <m:r>
          <m:t>g</m:t>
        </m:r>
        <m:r>
          <m:t>h</m:t>
        </m:r>
        <m:r>
          <m:t>t</m:t>
        </m:r>
        <m:r>
          <m:t>e</m:t>
        </m:r>
        <m:r>
          <m:t>r</m:t>
        </m:r>
        <m:r>
          <m:rPr>
            <m:sty m:val="p"/>
          </m:rPr>
          <m:t>*</m:t>
        </m:r>
        <m:r>
          <m:rPr>
            <m:sty m:val="p"/>
          </m:rPr>
          <m:t>*</m:t>
        </m:r>
        <m:r>
          <m:t>b</m:t>
        </m:r>
        <m:r>
          <m:t>y</m:t>
        </m:r>
        <m:r>
          <m:t>c</m:t>
        </m:r>
        <m:r>
          <m:t>o</m:t>
        </m:r>
        <m:r>
          <m:t>m</m:t>
        </m:r>
        <m:r>
          <m:t>p</m:t>
        </m:r>
        <m:r>
          <m:t>a</m:t>
        </m:r>
        <m:r>
          <m:t>r</m:t>
        </m:r>
        <m:r>
          <m:t>i</m:t>
        </m:r>
        <m:r>
          <m:t>s</m:t>
        </m:r>
        <m:r>
          <m:t>o</m:t>
        </m:r>
        <m:r>
          <m:t>n</m:t>
        </m:r>
        <m:r>
          <m:rPr>
            <m:sty m:val="p"/>
          </m:rPr>
          <m:t>.</m:t>
        </m:r>
        <m:r>
          <m:t>D</m:t>
        </m:r>
        <m:r>
          <m:t>o</m:t>
        </m:r>
        <m:sSup>
          <m:e>
            <m:r>
              <m:t>n</m:t>
            </m:r>
          </m:e>
          <m:sup>
            <m:r>
              <m:rPr>
                <m:sty m:val="p"/>
              </m:rPr>
              <m:t>′</m:t>
            </m:r>
          </m:sup>
        </m:sSup>
        <m:r>
          <m:t>t</m:t>
        </m:r>
        <m:r>
          <m:t>b</m:t>
        </m:r>
        <m:r>
          <m:t>e</m:t>
        </m:r>
        <m:r>
          <m:t>s</m:t>
        </m:r>
        <m:r>
          <m:t>p</m:t>
        </m:r>
        <m:r>
          <m:t>o</m:t>
        </m:r>
        <m:r>
          <m:t>o</m:t>
        </m:r>
        <m:r>
          <m:t>k</m:t>
        </m:r>
        <m:r>
          <m:t>e</m:t>
        </m:r>
        <m:r>
          <m:t>d</m:t>
        </m:r>
        <m:r>
          <m:t>b</m:t>
        </m:r>
        <m:r>
          <m:t>y</m:t>
        </m:r>
        <m:r>
          <m:t>a</m:t>
        </m:r>
        <m:r>
          <m:t>s</m:t>
        </m:r>
        <m:r>
          <m:t>o</m:t>
        </m:r>
        <m:r>
          <m:t>f</m:t>
        </m:r>
        <m:r>
          <m:t>t</m:t>
        </m:r>
        <m:r>
          <m:t>R</m:t>
        </m:r>
        <m:r>
          <m:t>E</m:t>
        </m:r>
        <m:r>
          <m:t>I</m:t>
        </m:r>
        <m:r>
          <m:t>q</m:t>
        </m:r>
        <m:r>
          <m:t>u</m:t>
        </m:r>
        <m:r>
          <m:t>a</m:t>
        </m:r>
        <m:r>
          <m:t>r</m:t>
        </m:r>
        <m:r>
          <m:t>t</m:t>
        </m:r>
        <m:r>
          <m:t>e</m:t>
        </m:r>
        <m:r>
          <m:t>r</m:t>
        </m:r>
        <m:r>
          <m:rPr>
            <m:sty m:val="p"/>
          </m:rPr>
          <m:t>;</m:t>
        </m:r>
        <m:r>
          <m:t>f</m:t>
        </m:r>
        <m:r>
          <m:t>o</m:t>
        </m:r>
        <m:r>
          <m:t>c</m:t>
        </m:r>
        <m:r>
          <m:t>u</m:t>
        </m:r>
        <m:r>
          <m:t>s</m:t>
        </m:r>
        <m:r>
          <m:t>o</m:t>
        </m:r>
        <m:r>
          <m:t>n</m:t>
        </m:r>
        <m:r>
          <m:t>t</m:t>
        </m:r>
        <m:r>
          <m:t>h</m:t>
        </m:r>
        <m:r>
          <m:t>e</m:t>
        </m:r>
        <m:r>
          <m:t> </m:t>
        </m:r>
      </m:oMath>
      <w:r>
        <w:t xml:space="preserve">900M of embedded Trammell Crow gains and whether the pipeline is being "refilled at the same rate it's emptied." Development timing is lumpy and can whip the headline.</w:t>
      </w:r>
    </w:p>
    <w:bookmarkEnd w:id="14"/>
    <w:bookmarkStart w:id="15" w:name="X1f9916d837fa231dc023e2d17a3723a7bc06f26"/>
    <w:p>
      <w:pPr>
        <w:pStyle w:val="Heading3"/>
      </w:pPr>
      <w:r>
        <w:t xml:space="preserve">5. Capital allocation — did they lean into the sell-off?</w:t>
      </w:r>
    </w:p>
    <w:p>
      <w:pPr>
        <w:pStyle w:val="FirstParagraph"/>
      </w:pPr>
      <w:r>
        <w:t xml:space="preserve">CBRE bought back ~</w:t>
      </w:r>
      <m:oMath>
        <m:r>
          <m:t>540</m:t>
        </m:r>
        <m:r>
          <m:t>M</m:t>
        </m:r>
        <m:r>
          <m:t>Y</m:t>
        </m:r>
        <m:r>
          <m:t>T</m:t>
        </m:r>
        <m:r>
          <m:t>D</m:t>
        </m:r>
        <m:r>
          <m:t>t</m:t>
        </m:r>
        <m:r>
          <m:t>h</m:t>
        </m:r>
        <m:r>
          <m:t>r</m:t>
        </m:r>
        <m:r>
          <m:t>o</m:t>
        </m:r>
        <m:r>
          <m:t>u</m:t>
        </m:r>
        <m:r>
          <m:t>g</m:t>
        </m:r>
        <m:r>
          <m:t>h</m:t>
        </m:r>
        <m:r>
          <m:t>l</m:t>
        </m:r>
        <m:r>
          <m:t>a</m:t>
        </m:r>
        <m:r>
          <m:t>t</m:t>
        </m:r>
        <m:r>
          <m:t>e</m:t>
        </m:r>
        <m:r>
          <m:t>A</m:t>
        </m:r>
        <m:r>
          <m:t>p</m:t>
        </m:r>
        <m:r>
          <m:t>r</m:t>
        </m:r>
        <m:r>
          <m:t>i</m:t>
        </m:r>
        <m:r>
          <m:t>l</m:t>
        </m:r>
        <m:r>
          <m:t>a</m:t>
        </m:r>
        <m:r>
          <m:t>t</m:t>
        </m:r>
        <m:r>
          <m:t>a</m:t>
        </m:r>
        <m:r>
          <m:t>n</m:t>
        </m:r>
        <m:r>
          <m:t>a</m:t>
        </m:r>
        <m:r>
          <m:t>v</m:t>
        </m:r>
        <m:r>
          <m:t>e</m:t>
        </m:r>
        <m:r>
          <m:t>r</m:t>
        </m:r>
        <m:r>
          <m:t>a</m:t>
        </m:r>
        <m:r>
          <m:t>g</m:t>
        </m:r>
        <m:r>
          <m:t>e</m:t>
        </m:r>
        <m:r>
          <m:t>o</m:t>
        </m:r>
        <m:r>
          <m:t>f</m:t>
        </m:r>
        <m:r>
          <m:rPr>
            <m:sty m:val="p"/>
          </m:rPr>
          <m:t>*</m:t>
        </m:r>
        <m:r>
          <m:rPr>
            <m:sty m:val="p"/>
          </m:rPr>
          <m:t>*</m:t>
        </m:r>
        <m:r>
          <m:t> </m:t>
        </m:r>
      </m:oMath>
      <w:r>
        <w:t xml:space="preserve">148/share.** Critically, the stock traded</w:t>
      </w:r>
      <w:r>
        <w:t xml:space="preserve"> </w:t>
      </w:r>
      <w:r>
        <w:rPr>
          <w:b/>
          <w:bCs/>
        </w:rPr>
        <w:t xml:space="preserve">well below that during Q2</w:t>
      </w:r>
      <w:r>
        <w:t xml:space="preserve"> </w:t>
      </w:r>
      <w:r>
        <w:t xml:space="preserve">— dipping to ~</w:t>
      </w:r>
      <m:oMath>
        <m:r>
          <m:t>125</m:t>
        </m:r>
        <m:r>
          <m:t>i</m:t>
        </m:r>
        <m:r>
          <m:t>n</m:t>
        </m:r>
        <m:r>
          <m:t>l</m:t>
        </m:r>
        <m:r>
          <m:t>a</m:t>
        </m:r>
        <m:r>
          <m:t>t</m:t>
        </m:r>
        <m:r>
          <m:t>e</m:t>
        </m:r>
        <m:r>
          <m:t>M</m:t>
        </m:r>
        <m:r>
          <m:t>a</m:t>
        </m:r>
        <m:r>
          <m:t>y</m:t>
        </m:r>
        <m:r>
          <m:rPr>
            <m:sty m:val="p"/>
          </m:rPr>
          <m:t>/</m:t>
        </m:r>
        <m:r>
          <m:t>J</m:t>
        </m:r>
        <m:r>
          <m:t>u</m:t>
        </m:r>
        <m:r>
          <m:t>n</m:t>
        </m:r>
        <m:r>
          <m:t>e</m:t>
        </m:r>
        <m:r>
          <m:rPr>
            <m:sty m:val="p"/>
          </m:rPr>
          <m:t>.</m:t>
        </m:r>
        <m:r>
          <m:t>I</m:t>
        </m:r>
        <m:r>
          <m:t>f</m:t>
        </m:r>
        <m:r>
          <m:t>m</m:t>
        </m:r>
        <m:r>
          <m:t>a</m:t>
        </m:r>
        <m:r>
          <m:t>n</m:t>
        </m:r>
        <m:r>
          <m:t>a</m:t>
        </m:r>
        <m:r>
          <m:t>g</m:t>
        </m:r>
        <m:r>
          <m:t>e</m:t>
        </m:r>
        <m:r>
          <m:t>m</m:t>
        </m:r>
        <m:r>
          <m:t>e</m:t>
        </m:r>
        <m:r>
          <m:t>n</m:t>
        </m:r>
        <m:r>
          <m:t>t</m:t>
        </m:r>
        <m:r>
          <m:t>i</m:t>
        </m:r>
        <m:r>
          <m:t>s</m:t>
        </m:r>
        <m:r>
          <m:t>o</m:t>
        </m:r>
        <m:r>
          <m:t>p</m:t>
        </m:r>
        <m:r>
          <m:t>p</m:t>
        </m:r>
        <m:r>
          <m:t>o</m:t>
        </m:r>
        <m:r>
          <m:t>r</m:t>
        </m:r>
        <m:r>
          <m:t>t</m:t>
        </m:r>
        <m:r>
          <m:t>u</m:t>
        </m:r>
        <m:r>
          <m:t>n</m:t>
        </m:r>
        <m:r>
          <m:t>i</m:t>
        </m:r>
        <m:r>
          <m:t>s</m:t>
        </m:r>
        <m:r>
          <m:t>t</m:t>
        </m:r>
        <m:r>
          <m:t>i</m:t>
        </m:r>
        <m:r>
          <m:t>c</m:t>
        </m:r>
        <m:r>
          <m:rPr>
            <m:sty m:val="p"/>
          </m:rPr>
          <m:t>(</m:t>
        </m:r>
        <m:r>
          <m:t>a</m:t>
        </m:r>
        <m:r>
          <m:t>s</m:t>
        </m:r>
        <m:r>
          <m:t>t</m:t>
        </m:r>
        <m:r>
          <m:t>h</m:t>
        </m:r>
        <m:r>
          <m:t>e</m:t>
        </m:r>
        <m:r>
          <m:t>y</m:t>
        </m:r>
        <m:r>
          <m:t>c</m:t>
        </m:r>
        <m:r>
          <m:t>l</m:t>
        </m:r>
        <m:r>
          <m:t>a</m:t>
        </m:r>
        <m:r>
          <m:t>i</m:t>
        </m:r>
        <m:r>
          <m:t>m</m:t>
        </m:r>
        <m:r>
          <m:rPr>
            <m:sty m:val="p"/>
          </m:rPr>
          <m:t>,</m:t>
        </m:r>
        <m:r>
          <m:t>b</m:t>
        </m:r>
        <m:r>
          <m:t>e</m:t>
        </m:r>
        <m:r>
          <m:t>l</m:t>
        </m:r>
        <m:r>
          <m:t>i</m:t>
        </m:r>
        <m:r>
          <m:t>e</m:t>
        </m:r>
        <m:r>
          <m:t>v</m:t>
        </m:r>
        <m:r>
          <m:t>i</m:t>
        </m:r>
        <m:r>
          <m:t>n</m:t>
        </m:r>
        <m:r>
          <m:t>g</m:t>
        </m:r>
        <m:r>
          <m:t>t</m:t>
        </m:r>
        <m:r>
          <m:t>h</m:t>
        </m:r>
        <m:r>
          <m:t>e</m:t>
        </m:r>
        <m:r>
          <m:t>s</m:t>
        </m:r>
        <m:r>
          <m:t>t</m:t>
        </m:r>
        <m:r>
          <m:t>o</m:t>
        </m:r>
        <m:r>
          <m:t>c</m:t>
        </m:r>
        <m:r>
          <m:t>k</m:t>
        </m:r>
        <m:r>
          <m:t>i</m:t>
        </m:r>
        <m:r>
          <m:t>s</m:t>
        </m:r>
        <m:r>
          <m:t>u</m:t>
        </m:r>
        <m:r>
          <m:t>n</m:t>
        </m:r>
        <m:r>
          <m:t>d</m:t>
        </m:r>
        <m:r>
          <m:t>e</m:t>
        </m:r>
        <m:r>
          <m:t>r</m:t>
        </m:r>
        <m:r>
          <m:t>v</m:t>
        </m:r>
        <m:r>
          <m:t>a</m:t>
        </m:r>
        <m:r>
          <m:t>l</m:t>
        </m:r>
        <m:r>
          <m:t>u</m:t>
        </m:r>
        <m:r>
          <m:t>e</m:t>
        </m:r>
        <m:r>
          <m:t>d</m:t>
        </m:r>
        <m:r>
          <m:rPr>
            <m:sty m:val="p"/>
          </m:rPr>
          <m:t>)</m:t>
        </m:r>
        <m:r>
          <m:rPr>
            <m:sty m:val="p"/>
          </m:rPr>
          <m:t>,</m:t>
        </m:r>
        <m:r>
          <m:t>Q</m:t>
        </m:r>
        <m:r>
          <m:t>2</m:t>
        </m:r>
        <m:r>
          <m:t>b</m:t>
        </m:r>
        <m:r>
          <m:t>u</m:t>
        </m:r>
        <m:r>
          <m:t>y</m:t>
        </m:r>
        <m:r>
          <m:t>b</m:t>
        </m:r>
        <m:r>
          <m:t>a</m:t>
        </m:r>
        <m:r>
          <m:t>c</m:t>
        </m:r>
        <m:r>
          <m:t>k</m:t>
        </m:r>
        <m:r>
          <m:t>s</m:t>
        </m:r>
        <m:r>
          <m:t>s</m:t>
        </m:r>
        <m:r>
          <m:t>h</m:t>
        </m:r>
        <m:r>
          <m:t>o</m:t>
        </m:r>
        <m:r>
          <m:t>u</m:t>
        </m:r>
        <m:r>
          <m:t>l</m:t>
        </m:r>
        <m:r>
          <m:t>d</m:t>
        </m:r>
        <m:r>
          <m:t>h</m:t>
        </m:r>
        <m:r>
          <m:t>a</m:t>
        </m:r>
        <m:r>
          <m:t>v</m:t>
        </m:r>
        <m:r>
          <m:t>e</m:t>
        </m:r>
        <m:r>
          <m:t>a</m:t>
        </m:r>
        <m:r>
          <m:t>c</m:t>
        </m:r>
        <m:r>
          <m:t>c</m:t>
        </m:r>
        <m:r>
          <m:t>e</m:t>
        </m:r>
        <m:r>
          <m:t>l</m:t>
        </m:r>
        <m:r>
          <m:t>e</m:t>
        </m:r>
        <m:r>
          <m:t>r</m:t>
        </m:r>
        <m:r>
          <m:t>a</m:t>
        </m:r>
        <m:r>
          <m:t>t</m:t>
        </m:r>
        <m:r>
          <m:t>e</m:t>
        </m:r>
        <m:r>
          <m:t>d</m:t>
        </m:r>
        <m:r>
          <m:t>a</m:t>
        </m:r>
        <m:r>
          <m:t>t</m:t>
        </m:r>
        <m:r>
          <m:t>a</m:t>
        </m:r>
        <m:r>
          <m:t>t</m:t>
        </m:r>
        <m:r>
          <m:t>t</m:t>
        </m:r>
        <m:r>
          <m:t>r</m:t>
        </m:r>
        <m:r>
          <m:t>a</m:t>
        </m:r>
        <m:r>
          <m:t>c</m:t>
        </m:r>
        <m:r>
          <m:t>t</m:t>
        </m:r>
        <m:r>
          <m:t>i</m:t>
        </m:r>
        <m:r>
          <m:t>v</m:t>
        </m:r>
        <m:r>
          <m:t>e</m:t>
        </m:r>
        <m:r>
          <m:t>p</m:t>
        </m:r>
        <m:r>
          <m:t>r</m:t>
        </m:r>
        <m:r>
          <m:t>i</m:t>
        </m:r>
        <m:r>
          <m:t>c</m:t>
        </m:r>
        <m:r>
          <m:t>e</m:t>
        </m:r>
        <m:r>
          <m:t>s</m:t>
        </m:r>
        <m:r>
          <m:rPr>
            <m:sty m:val="p"/>
          </m:rPr>
          <m:t>.</m:t>
        </m:r>
        <m:r>
          <m:t>T</m:t>
        </m:r>
        <m:r>
          <m:t>h</m:t>
        </m:r>
        <m:r>
          <m:t>a</m:t>
        </m:r>
        <m:sSup>
          <m:e>
            <m:r>
              <m:t>t</m:t>
            </m:r>
          </m:e>
          <m:sup>
            <m:r>
              <m:rPr>
                <m:sty m:val="p"/>
              </m:rPr>
              <m:t>′</m:t>
            </m:r>
          </m:sup>
        </m:sSup>
        <m:r>
          <m:t>s</m:t>
        </m:r>
        <m:r>
          <m:t>a</m:t>
        </m:r>
        <m:r>
          <m:t>n</m:t>
        </m:r>
        <m:r>
          <m:t>u</m:t>
        </m:r>
        <m:r>
          <m:t>n</m:t>
        </m:r>
        <m:r>
          <m:t>d</m:t>
        </m:r>
        <m:r>
          <m:t>e</m:t>
        </m:r>
        <m:r>
          <m:t>r</m:t>
        </m:r>
        <m:r>
          <m:t>a</m:t>
        </m:r>
        <m:r>
          <m:t>p</m:t>
        </m:r>
        <m:r>
          <m:t>p</m:t>
        </m:r>
        <m:r>
          <m:t>r</m:t>
        </m:r>
        <m:r>
          <m:t>e</m:t>
        </m:r>
        <m:r>
          <m:t>c</m:t>
        </m:r>
        <m:r>
          <m:t>i</m:t>
        </m:r>
        <m:r>
          <m:t>a</m:t>
        </m:r>
        <m:r>
          <m:t>t</m:t>
        </m:r>
        <m:r>
          <m:t>e</m:t>
        </m:r>
        <m:r>
          <m:t>d</m:t>
        </m:r>
        <m:r>
          <m:t>E</m:t>
        </m:r>
        <m:r>
          <m:t>P</m:t>
        </m:r>
        <m:r>
          <m:t>S</m:t>
        </m:r>
        <m:r>
          <m:t>t</m:t>
        </m:r>
        <m:r>
          <m:t>a</m:t>
        </m:r>
        <m:r>
          <m:t>i</m:t>
        </m:r>
        <m:r>
          <m:t>l</m:t>
        </m:r>
        <m:r>
          <m:t>w</m:t>
        </m:r>
        <m:r>
          <m:t>i</m:t>
        </m:r>
        <m:r>
          <m:t>n</m:t>
        </m:r>
        <m:r>
          <m:t>d</m:t>
        </m:r>
        <m:r>
          <m:t>a</m:t>
        </m:r>
        <m:r>
          <m:t>n</m:t>
        </m:r>
        <m:r>
          <m:t>d</m:t>
        </m:r>
        <m:r>
          <m:t>a</m:t>
        </m:r>
        <m:r>
          <m:t>s</m:t>
        </m:r>
        <m:r>
          <m:t>i</m:t>
        </m:r>
        <m:r>
          <m:t>g</m:t>
        </m:r>
        <m:r>
          <m:t>n</m:t>
        </m:r>
        <m:r>
          <m:t>a</m:t>
        </m:r>
        <m:r>
          <m:t>l</m:t>
        </m:r>
        <m:r>
          <m:t>o</m:t>
        </m:r>
        <m:r>
          <m:t>f</m:t>
        </m:r>
        <m:r>
          <m:t>c</m:t>
        </m:r>
        <m:r>
          <m:t>o</m:t>
        </m:r>
        <m:r>
          <m:t>n</m:t>
        </m:r>
        <m:r>
          <m:t>v</m:t>
        </m:r>
        <m:r>
          <m:t>i</m:t>
        </m:r>
        <m:r>
          <m:t>c</m:t>
        </m:r>
        <m:r>
          <m:t>t</m:t>
        </m:r>
        <m:r>
          <m:t>i</m:t>
        </m:r>
        <m:r>
          <m:t>o</m:t>
        </m:r>
        <m:r>
          <m:t>n</m:t>
        </m:r>
        <m:r>
          <m:rPr>
            <m:sty m:val="p"/>
          </m:rPr>
          <m:t>.</m:t>
        </m:r>
        <m:r>
          <m:t>N</m:t>
        </m:r>
        <m:r>
          <m:t>e</m:t>
        </m:r>
        <m:r>
          <m:t>t</m:t>
        </m:r>
        <m:r>
          <m:t>l</m:t>
        </m:r>
        <m:r>
          <m:t>e</m:t>
        </m:r>
        <m:r>
          <m:t>v</m:t>
        </m:r>
        <m:r>
          <m:t>e</m:t>
        </m:r>
        <m:r>
          <m:t>r</m:t>
        </m:r>
        <m:r>
          <m:t>a</m:t>
        </m:r>
        <m:r>
          <m:t>g</m:t>
        </m:r>
        <m:r>
          <m:t>e</m:t>
        </m:r>
        <m:r>
          <m:t>i</m:t>
        </m:r>
        <m:r>
          <m:t>s</m:t>
        </m:r>
        <m:r>
          <m:t>a</m:t>
        </m:r>
        <m:r>
          <m:t>n</m:t>
        </m:r>
        <m:r>
          <m:t>o</m:t>
        </m:r>
        <m:r>
          <m:t>n</m:t>
        </m:r>
        <m:r>
          <m:rPr>
            <m:sty m:val="p"/>
          </m:rPr>
          <m:t>−</m:t>
        </m:r>
        <m:r>
          <m:t>i</m:t>
        </m:r>
        <m:r>
          <m:t>s</m:t>
        </m:r>
        <m:r>
          <m:t>s</m:t>
        </m:r>
        <m:r>
          <m:t>u</m:t>
        </m:r>
        <m:r>
          <m:t>e</m:t>
        </m:r>
        <m:r>
          <m:t>a</m:t>
        </m:r>
        <m:r>
          <m:t>t</m:t>
        </m:r>
        <m:r>
          <m:t> </m:t>
        </m:r>
        <m:r>
          <m:t>1.5</m:t>
        </m:r>
        <m:r>
          <m:t>x</m:t>
        </m:r>
        <m:r>
          <m:rPr>
            <m:sty m:val="p"/>
          </m:rPr>
          <m:t>(</m:t>
        </m:r>
        <m:r>
          <m:t>v</m:t>
        </m:r>
        <m:r>
          <m:t>s</m:t>
        </m:r>
        <m:r>
          <m:rPr>
            <m:sty m:val="p"/>
          </m:rPr>
          <m:t>.</m:t>
        </m:r>
        <m:r>
          <m:t>4.25</m:t>
        </m:r>
        <m:r>
          <m:t>x</m:t>
        </m:r>
        <m:r>
          <m:t>c</m:t>
        </m:r>
        <m:r>
          <m:t>o</m:t>
        </m:r>
        <m:r>
          <m:t>v</m:t>
        </m:r>
        <m:r>
          <m:t>e</m:t>
        </m:r>
        <m:r>
          <m:t>n</m:t>
        </m:r>
        <m:r>
          <m:t>a</m:t>
        </m:r>
        <m:r>
          <m:t>n</m:t>
        </m:r>
        <m:r>
          <m:t>t</m:t>
        </m:r>
        <m:r>
          <m:rPr>
            <m:sty m:val="p"/>
          </m:rPr>
          <m:t>)</m:t>
        </m:r>
        <m:r>
          <m:rPr>
            <m:sty m:val="p"/>
          </m:rPr>
          <m:t>,</m:t>
        </m:r>
        <m:r>
          <m:t>w</m:t>
        </m:r>
        <m:r>
          <m:t>i</m:t>
        </m:r>
        <m:r>
          <m:t>t</m:t>
        </m:r>
        <m:r>
          <m:t>h</m:t>
        </m:r>
        <m:r>
          <m:t> </m:t>
        </m:r>
      </m:oMath>
      <w:r>
        <w:t xml:space="preserve">4.4B liquidity.</w:t>
      </w:r>
    </w:p>
    <w:p>
      <w:r>
        <w:pict>
          <v:rect style="width:0;height:1.5pt" o:hralign="center" o:hrstd="t" o:hr="t"/>
        </w:pict>
      </w:r>
    </w:p>
    <w:bookmarkEnd w:id="15"/>
    <w:bookmarkEnd w:id="16"/>
    <w:bookmarkStart w:id="17" w:name="Xdb54e88657a322d7942b9c21abf3c3027865171"/>
    <w:p>
      <w:pPr>
        <w:pStyle w:val="Heading2"/>
      </w:pPr>
      <w:r>
        <w:t xml:space="preserve">Stock context — why the reaction could be outsized</w:t>
      </w:r>
    </w:p>
    <w:p>
      <w:pPr>
        <w:pStyle w:val="Compact"/>
        <w:numPr>
          <w:ilvl w:val="0"/>
          <w:numId w:val="1003"/>
        </w:numPr>
      </w:pPr>
      <w:r>
        <w:rPr>
          <w:b/>
          <w:bCs/>
        </w:rPr>
        <w:t xml:space="preserve">2026 has been ugly despite good numbers.</w:t>
      </w:r>
      <w:r>
        <w:t xml:space="preserve"> </w:t>
      </w:r>
      <w:r>
        <w:t xml:space="preserve">Shares gapped down ~20% on the Feb 12 Q4 report (from ~</w:t>
      </w:r>
      <m:oMath>
        <m:r>
          <m:t>170</m:t>
        </m:r>
        <m:r>
          <m:t>t</m:t>
        </m:r>
        <m:r>
          <m:t>o</m:t>
        </m:r>
        <m:r>
          <m:t> </m:t>
        </m:r>
      </m:oMath>
      <w:r>
        <w:t xml:space="preserve">136), drifted to a ~</w:t>
      </w:r>
      <m:oMath>
        <m:r>
          <m:t>125</m:t>
        </m:r>
        <m:r>
          <m:t>l</m:t>
        </m:r>
        <m:r>
          <m:t>o</m:t>
        </m:r>
        <m:r>
          <m:t>w</m:t>
        </m:r>
        <m:r>
          <m:t>a</m:t>
        </m:r>
        <m:r>
          <m:t>r</m:t>
        </m:r>
        <m:r>
          <m:t>o</m:t>
        </m:r>
        <m:r>
          <m:t>u</m:t>
        </m:r>
        <m:r>
          <m:t>n</m:t>
        </m:r>
        <m:r>
          <m:t>d</m:t>
        </m:r>
        <m:r>
          <m:t>J</m:t>
        </m:r>
        <m:r>
          <m:t>u</m:t>
        </m:r>
        <m:r>
          <m:t>n</m:t>
        </m:r>
        <m:r>
          <m:t>e</m:t>
        </m:r>
        <m:r>
          <m:t>1</m:t>
        </m:r>
        <m:r>
          <m:rPr>
            <m:sty m:val="p"/>
          </m:rPr>
          <m:t>,</m:t>
        </m:r>
        <m:r>
          <m:t>a</m:t>
        </m:r>
        <m:r>
          <m:t>n</m:t>
        </m:r>
        <m:r>
          <m:t>d</m:t>
        </m:r>
        <m:r>
          <m:t>h</m:t>
        </m:r>
        <m:r>
          <m:t>a</m:t>
        </m:r>
        <m:r>
          <m:t>v</m:t>
        </m:r>
        <m:r>
          <m:t>e</m:t>
        </m:r>
        <m:r>
          <m:t>s</m:t>
        </m:r>
        <m:r>
          <m:t>i</m:t>
        </m:r>
        <m:r>
          <m:t>n</m:t>
        </m:r>
        <m:r>
          <m:t>c</m:t>
        </m:r>
        <m:r>
          <m:t>e</m:t>
        </m:r>
        <m:r>
          <m:t>r</m:t>
        </m:r>
        <m:r>
          <m:t>a</m:t>
        </m:r>
        <m:r>
          <m:t>l</m:t>
        </m:r>
        <m:r>
          <m:t>l</m:t>
        </m:r>
        <m:r>
          <m:t>i</m:t>
        </m:r>
        <m:r>
          <m:t>e</m:t>
        </m:r>
        <m:r>
          <m:t>d</m:t>
        </m:r>
        <m:r>
          <m:t> </m:t>
        </m:r>
        <m:r>
          <m:t>18</m:t>
        </m:r>
      </m:oMath>
      <w:r>
        <w:t xml:space="preserve">147 — including a sharp run in the final days before the print. So the stock is going in</w:t>
      </w:r>
      <w:r>
        <w:t xml:space="preserve"> </w:t>
      </w:r>
      <w:r>
        <w:rPr>
          <w:i/>
          <w:iCs/>
        </w:rPr>
        <w:t xml:space="preserve">hot</w:t>
      </w:r>
      <w:r>
        <w:t xml:space="preserve"> </w:t>
      </w:r>
      <w:r>
        <w:t xml:space="preserve">and has re-rated some of the fear out.</w:t>
      </w:r>
    </w:p>
    <w:p>
      <w:pPr>
        <w:pStyle w:val="Compact"/>
        <w:numPr>
          <w:ilvl w:val="0"/>
          <w:numId w:val="1003"/>
        </w:numPr>
      </w:pPr>
      <w:r>
        <w:rPr>
          <w:b/>
          <w:bCs/>
        </w:rPr>
        <w:t xml:space="preserve">The debate is AI, not the P&amp;L.</w:t>
      </w:r>
      <w:r>
        <w:t xml:space="preserve"> </w:t>
      </w:r>
      <w:r>
        <w:t xml:space="preserve">The bear case is that AI compresses higher-margin advisory functions (valuations, research, analytics). Management's rebuttal: the vast majority of advisory expense goes to brokers for strategic/creative/negotiation value that AI enables rather than replaces, office lease durations "haven't decreased by a day," and AI is a net</w:t>
      </w:r>
      <w:r>
        <w:t xml:space="preserve"> </w:t>
      </w:r>
      <w:r>
        <w:rPr>
          <w:i/>
          <w:iCs/>
        </w:rPr>
        <w:t xml:space="preserve">tailwind</w:t>
      </w:r>
      <w:r>
        <w:t xml:space="preserve"> </w:t>
      </w:r>
      <w:r>
        <w:t xml:space="preserve">via the infrastructure buildout. How convincingly they re-litigate this on the call may matter as much as the numbers.</w:t>
      </w:r>
    </w:p>
    <w:p>
      <w:pPr>
        <w:pStyle w:val="Compact"/>
        <w:numPr>
          <w:ilvl w:val="0"/>
          <w:numId w:val="1003"/>
        </w:numPr>
      </w:pPr>
      <w:r>
        <w:rPr>
          <w:b/>
          <w:bCs/>
        </w:rPr>
        <w:t xml:space="preserve">FX is now a tailwind.</w:t>
      </w:r>
      <w:r>
        <w:t xml:space="preserve"> </w:t>
      </w:r>
      <w:r>
        <w:t xml:space="preserve">Q1 carried a ~4-point FX benefit and guidance is set on constant currency, so a weaker dollar could add to reported results/guidance.</w:t>
      </w:r>
    </w:p>
    <w:p>
      <w:r>
        <w:pict>
          <v:rect style="width:0;height:1.5pt" o:hralign="center" o:hrstd="t" o:hr="t"/>
        </w:pict>
      </w:r>
    </w:p>
    <w:bookmarkEnd w:id="17"/>
    <w:bookmarkStart w:id="18" w:name="comparability-watch-dont-get-tripped-up"/>
    <w:p>
      <w:pPr>
        <w:pStyle w:val="Heading2"/>
      </w:pPr>
      <w:r>
        <w:t xml:space="preserve">Comparability watch (don't get tripped up)</w:t>
      </w:r>
    </w:p>
    <w:p>
      <w:pPr>
        <w:pStyle w:val="FirstParagraph"/>
      </w:pPr>
      <w:r>
        <w:t xml:space="preserve">Beginning Q1 2026, CBRE implemented</w:t>
      </w:r>
      <w:r>
        <w:t xml:space="preserve"> </w:t>
      </w:r>
      <w:r>
        <w:rPr>
          <w:b/>
          <w:bCs/>
        </w:rPr>
        <w:t xml:space="preserve">financial-reporting changes</w:t>
      </w:r>
      <w:r>
        <w:t xml:space="preserve"> </w:t>
      </w:r>
      <w:r>
        <w:t xml:space="preserve">(per its March 24 8-K) and</w:t>
      </w:r>
      <w:r>
        <w:t xml:space="preserve"> </w:t>
      </w:r>
      <w:r>
        <w:rPr>
          <w:b/>
          <w:bCs/>
        </w:rPr>
        <w:t xml:space="preserve">recast prior periods</w:t>
      </w:r>
      <w:r>
        <w:t xml:space="preserve"> </w:t>
      </w:r>
      <w:r>
        <w:t xml:space="preserve">— including retiring the "adjusted net revenue" metric and creating the Critical Infrastructure Services line within BOE. As a result, prior-year revenue optics changed (Q1 2025 was recast to $8.9B). Also note a</w:t>
      </w:r>
      <w:r>
        <w:t xml:space="preserve"> </w:t>
      </w:r>
      <w:r>
        <w:rPr>
          <w:b/>
          <w:bCs/>
        </w:rPr>
        <w:t xml:space="preserve">cost reclassification</w:t>
      </w:r>
      <w:r>
        <w:t xml:space="preserve"> </w:t>
      </w:r>
      <w:r>
        <w:t xml:space="preserve">(fleet-vehicle leases from cost of services to D&amp;A) that</w:t>
      </w:r>
      <w:r>
        <w:t xml:space="preserve"> </w:t>
      </w:r>
      <w:r>
        <w:rPr>
          <w:b/>
          <w:bCs/>
        </w:rPr>
        <w:t xml:space="preserve">inflates BOE segment operating profit growth but is neutral to net income</w:t>
      </w:r>
      <w:r>
        <w:t xml:space="preserve"> </w:t>
      </w:r>
      <w:r>
        <w:t xml:space="preserve">— management guided BOE to ~25% SOP growth of which roughly half is this reclassification. Judge BOE on the ~high-teens underlying growth, not the headline SOP.</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Expect another beat (~</w:t>
      </w:r>
      <m:oMath>
        <m:r>
          <m:t>1.49</m:t>
        </m:r>
        <m:r>
          <m:rPr>
            <m:sty m:val="p"/>
          </m:rPr>
          <m:t>–</m:t>
        </m:r>
      </m:oMath>
      <w:r>
        <w:t xml:space="preserve">1.50 vs. management's own ~$1.47 implied), driven by capital-markets strength and the infrastructure/data-center flywheel, with likely upside from FX and opportunistic buybacks made into the Q2 dip. The three swing factors for the</w:t>
      </w:r>
      <w:r>
        <w:t xml:space="preserve"> </w:t>
      </w:r>
      <w:r>
        <w:rPr>
          <w:i/>
          <w:iCs/>
        </w:rPr>
        <w:t xml:space="preserve">reaction</w:t>
      </w:r>
      <w:r>
        <w:t xml:space="preserve">: (1) whether guidance gets raised again and how much lands in H2 given tough comps; (2) commentary that reframes the AI narrative from threat to tailwind; and (3) capital-markets/pipeline durability at current rate levels. Given the stock's pre-print rally, the bar has risen — a solid beat may need to be paired with a convincing H2 raise and AI rebuttal to extend the move; a "bank the beat, hold the guide" quarter risks a sell-the-news response. A soft REI/development quarter is expected (Q1 pull-forward) and shouldn't be read as a fundamental crack.</w:t>
      </w:r>
    </w:p>
    <w:p>
      <w:pPr>
        <w:pStyle w:val="BodyText"/>
      </w:pPr>
      <w:r>
        <w:rPr>
          <w:i/>
          <w:iCs/>
        </w:rPr>
        <w:t xml:space="preserve">Note: A small routine insider sale intent (~$317K by CEO Sulentic, filed July 27) is immaterial.</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2026-07-29T00:28:17Z</dcterms:created>
  <dcterms:modified xsi:type="dcterms:W3CDTF">2026-07-29T00:28:17Z</dcterms:modified>
</cp:coreProperties>
</file>

<file path=docProps/custom.xml><?xml version="1.0" encoding="utf-8"?>
<Properties xmlns="http://schemas.openxmlformats.org/officeDocument/2006/custom-properties" xmlns:vt="http://schemas.openxmlformats.org/officeDocument/2006/docPropsVTypes"/>
</file>