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a1e60a19af092a00fde1b19c42fdfe7380a04c8"/>
    <w:p>
      <w:pPr>
        <w:pStyle w:val="Heading1"/>
      </w:pPr>
      <w:r>
        <w:t xml:space="preserve">CBRE Group (NYSE: CBRE) — Q2 2026 Earnings Preview</w:t>
      </w:r>
    </w:p>
    <w:p>
      <w:pPr>
        <w:pStyle w:val="FirstParagraph"/>
      </w:pPr>
      <w:r>
        <w:rPr>
          <w:b/>
          <w:bCs/>
        </w:rPr>
        <w:t xml:space="preserve">Report Date:</w:t>
      </w:r>
      <w:r>
        <w:t xml:space="preserve"> </w:t>
      </w:r>
      <w:r>
        <w:t xml:space="preserve">Wednesday, July 29, 2026, before market open (call at 8:30 AM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CBRE shares have been volatile in 2026 — the stock ran from the low $160s in January to a 52-week high near $174 in mid-February, then sold off sharply into the</w:t>
      </w:r>
      <w:r>
        <w:t xml:space="preserve"> </w:t>
      </w:r>
      <m:oMath>
        <m:r>
          <m:t>130</m:t>
        </m:r>
        <m:r>
          <m:t>s</m:t>
        </m:r>
        <m:r>
          <m:t>b</m:t>
        </m:r>
        <m:r>
          <m:t>y</m:t>
        </m:r>
        <m:r>
          <m:t>M</m:t>
        </m:r>
        <m:r>
          <m:t>a</m:t>
        </m:r>
        <m:r>
          <m:t>r</m:t>
        </m:r>
        <m:r>
          <m:t>c</m:t>
        </m:r>
        <m:r>
          <m:t>h</m:t>
        </m:r>
        <m:r>
          <m:t>a</m:t>
        </m:r>
        <m:r>
          <m:t>m</m:t>
        </m:r>
        <m:r>
          <m:t>i</m:t>
        </m:r>
        <m:r>
          <m:t>d</m:t>
        </m:r>
        <m:r>
          <m:t>b</m:t>
        </m:r>
        <m:r>
          <m:t>r</m:t>
        </m:r>
        <m:r>
          <m:t>o</m:t>
        </m:r>
        <m:r>
          <m:t>a</m:t>
        </m:r>
        <m:r>
          <m:t>d</m:t>
        </m:r>
        <m:r>
          <m:t>e</m:t>
        </m:r>
        <m:r>
          <m:t>r</m:t>
        </m:r>
        <m:r>
          <m:t>m</m:t>
        </m:r>
        <m:r>
          <m:t>a</m:t>
        </m:r>
        <m:r>
          <m:t>r</m:t>
        </m:r>
        <m:r>
          <m:t>k</m:t>
        </m:r>
        <m:r>
          <m:t>e</m:t>
        </m:r>
        <m:r>
          <m:t>t</m:t>
        </m:r>
        <m:r>
          <m:t>j</m:t>
        </m:r>
        <m:r>
          <m:t>i</m:t>
        </m:r>
        <m:r>
          <m:t>t</m:t>
        </m:r>
        <m:r>
          <m:t>t</m:t>
        </m:r>
        <m:r>
          <m:t>e</m:t>
        </m:r>
        <m:r>
          <m:t>r</m:t>
        </m:r>
        <m:r>
          <m:t>s</m:t>
        </m:r>
        <m:r>
          <m:rPr>
            <m:sty m:val="p"/>
          </m:rPr>
          <m:t>,</m:t>
        </m:r>
        <m:r>
          <m:t>b</m:t>
        </m:r>
        <m:r>
          <m:t>e</m:t>
        </m:r>
        <m:r>
          <m:t>f</m:t>
        </m:r>
        <m:r>
          <m:t>o</m:t>
        </m:r>
        <m:r>
          <m:t>r</m:t>
        </m:r>
        <m:r>
          <m:t>e</m:t>
        </m:r>
        <m:r>
          <m:t>g</m:t>
        </m:r>
        <m:r>
          <m:t>r</m:t>
        </m:r>
        <m:r>
          <m:t>i</m:t>
        </m:r>
        <m:r>
          <m:t>n</m:t>
        </m:r>
        <m:r>
          <m:t>d</m:t>
        </m:r>
        <m:r>
          <m:t>i</m:t>
        </m:r>
        <m:r>
          <m:t>n</m:t>
        </m:r>
        <m:r>
          <m:t>g</m:t>
        </m:r>
        <m:r>
          <m:t>b</m:t>
        </m:r>
        <m:r>
          <m:t>a</m:t>
        </m:r>
        <m:r>
          <m:t>c</m:t>
        </m:r>
        <m:r>
          <m:t>k</m:t>
        </m:r>
        <m:r>
          <m:t>u</m:t>
        </m:r>
        <m:r>
          <m:t>p</m:t>
        </m:r>
        <m:r>
          <m:t>t</m:t>
        </m:r>
        <m:r>
          <m:t>o</m:t>
        </m:r>
        <m:r>
          <m:t>t</m:t>
        </m:r>
        <m:r>
          <m:t>h</m:t>
        </m:r>
        <m:r>
          <m:t>e</m:t>
        </m:r>
        <m:r>
          <m:t>m</m:t>
        </m:r>
        <m:r>
          <m:t>i</m:t>
        </m:r>
        <m:r>
          <m:t>d</m:t>
        </m:r>
        <m:r>
          <m:rPr>
            <m:sty m:val="p"/>
          </m:rPr>
          <m:t>−</m:t>
        </m:r>
      </m:oMath>
      <w:r>
        <w:t xml:space="preserve">140s heading into this week's report. As of the last close, shares sat around $147, still well below the roughly $176-178 average analyst price target.</w:t>
      </w:r>
    </w:p>
    <w:p>
      <w:pPr>
        <w:pStyle w:val="BodyText"/>
      </w:pPr>
      <w:r>
        <w:t xml:space="preserve">A recent search summary captured the tension well: CBRE lagged as investors grew cautious not just on CRE, rates, and the economy, but also on AI disruption, and concerns that automation could hit higher-margin areas like appraisals and research gained traction and sparked a sell-off, even though the stock sold off despite record revenue and healthy earnings, so perception has been outweighing fundamentals for now. Sell-side sentiment remains largely constructive: out of 13 analysts covering the stock, nine advise a "Strong Buy" rating, three suggest a "Moderate Buy," and one gives a "Hold", with an average analyst price target of $177.33, indicating a potential upside of 28.5% from current levels. Recent target adjustments include Barclays raising its price target to $178 with an overweight rating, while Evercore set a $169 target and UBS reiterated a buy rating.</w:t>
      </w:r>
    </w:p>
    <w:p>
      <w:pPr>
        <w:pStyle w:val="BodyText"/>
      </w:pPr>
      <w:r>
        <w:t xml:space="preserve">Notably, CEO Bob Sulentic filed to sell approximately $317,000 of stock on July 27, just ahead of earnings — a modest data point but worth flagging for investors tracking insider activity.</w:t>
      </w:r>
    </w:p>
    <w:bookmarkEnd w:id="9"/>
    <w:bookmarkStart w:id="10" w:name="X981deddc1a848b387888e6bcfbd423f5e538375"/>
    <w:p>
      <w:pPr>
        <w:pStyle w:val="Heading2"/>
      </w:pPr>
      <w:r>
        <w:t xml:space="preserve">2. What Wall Street Expects</w:t>
      </w:r>
    </w:p>
    <w:p>
      <w:pPr>
        <w:pStyle w:val="FirstParagraph"/>
      </w:pPr>
      <w:r>
        <w:t xml:space="preserve">Consensus estimates cluster tightly:</w:t>
      </w:r>
    </w:p>
    <w:p>
      <w:pPr>
        <w:pStyle w:val="Compact"/>
        <w:numPr>
          <w:ilvl w:val="0"/>
          <w:numId w:val="1001"/>
        </w:numPr>
      </w:pPr>
      <w:r>
        <w:rPr>
          <w:b/>
          <w:bCs/>
        </w:rPr>
        <w:t xml:space="preserve">EPS:</w:t>
      </w:r>
      <w:r>
        <w:t xml:space="preserve"> </w:t>
      </w:r>
      <w:r>
        <w:t xml:space="preserve">roughly</w:t>
      </w:r>
      <w:r>
        <w:t xml:space="preserve"> </w:t>
      </w:r>
      <m:oMath>
        <m:r>
          <m:t>1.47</m:t>
        </m:r>
        <m:r>
          <m:rPr>
            <m:sty m:val="p"/>
          </m:rPr>
          <m:t>–</m:t>
        </m:r>
      </m:oMath>
      <w:r>
        <w:t xml:space="preserve">1.50 (core/adjusted), which analysts note up 26.1% from $1.19 per share in the year-ago quarter</w:t>
      </w:r>
    </w:p>
    <w:p>
      <w:pPr>
        <w:pStyle w:val="Compact"/>
        <w:numPr>
          <w:ilvl w:val="0"/>
          <w:numId w:val="1001"/>
        </w:numPr>
      </w:pPr>
      <w:r>
        <w:rPr>
          <w:b/>
          <w:bCs/>
        </w:rPr>
        <w:t xml:space="preserve">Revenue:</w:t>
      </w:r>
      <w:r>
        <w:t xml:space="preserve"> </w:t>
      </w:r>
      <w:r>
        <w:t xml:space="preserve">approximately</w:t>
      </w:r>
      <w:r>
        <w:t xml:space="preserve"> </w:t>
      </w:r>
      <m:oMath>
        <m:r>
          <m:t>11.17</m:t>
        </m:r>
        <m:r>
          <m:rPr>
            <m:sty m:val="p"/>
          </m:rPr>
          <m:t>–</m:t>
        </m:r>
      </m:oMath>
      <w:r>
        <w:t xml:space="preserve">11.18 billion, suggesting an increase of 14.47% year over year</w:t>
      </w:r>
    </w:p>
    <w:p>
      <w:pPr>
        <w:pStyle w:val="Compact"/>
        <w:numPr>
          <w:ilvl w:val="0"/>
          <w:numId w:val="1001"/>
        </w:numPr>
      </w:pPr>
      <w:r>
        <w:rPr>
          <w:b/>
          <w:bCs/>
        </w:rPr>
        <w:t xml:space="preserve">Advisory segment revenue:</w:t>
      </w:r>
      <w:r>
        <w:t xml:space="preserve"> </w:t>
      </w:r>
      <w:r>
        <w:t xml:space="preserve">consensus around $2.20 billion, up from nearly $2.00 billion in the prior-year quarter</w:t>
      </w:r>
    </w:p>
    <w:p>
      <w:pPr>
        <w:pStyle w:val="FirstParagraph"/>
      </w:pPr>
      <w:r>
        <w:t xml:space="preserve">CBRE has a strong beat history: over the preceding four quarters, CBRE surpassed the Zacks Consensus Estimate on each occasion, the average beat being 16.99%, and last quarter alone it was expected that CBRE would post earnings of $1.13 per share when it actually produced earnings of $1.61, delivering a surprise of +42.48%. That said, one cautionary signal: the Most Accurate Estimate is lower than the Zacks Consensus Estimate, suggesting that analysts have recently become bearish on the company's earnings prospects. This has resulted in an Earnings ESP of -1.84%, meaning a beat is not a slam dunk this quarter despite the historical pattern. Also worth noting: CBRE has missed Wall Street's revenue estimates multiple times over the last two years, even as it has beaten on EPS — a segment-mix/margin story more than a top-line story.</w:t>
      </w:r>
    </w:p>
    <w:bookmarkEnd w:id="10"/>
    <w:bookmarkStart w:id="11" w:name="X213452f3aee5f600e658b787ab6930462ff1f02"/>
    <w:p>
      <w:pPr>
        <w:pStyle w:val="Heading2"/>
      </w:pPr>
      <w:r>
        <w:t xml:space="preserve">3. Context From Q1 2026 — Why Expectations Are High</w:t>
      </w:r>
    </w:p>
    <w:p>
      <w:pPr>
        <w:pStyle w:val="FirstParagraph"/>
      </w:pPr>
      <w:r>
        <w:t xml:space="preserve">CBRE's Q1 2026 print (reported April 23) was a blowout quarter that set an aggressive bar. Management raised full-year core EPS guidance to</w:t>
      </w:r>
      <w:r>
        <w:t xml:space="preserve"> </w:t>
      </w:r>
      <m:oMath>
        <m:r>
          <m:t>7.60</m:t>
        </m:r>
        <m:r>
          <m:rPr>
            <m:sty m:val="p"/>
          </m:rPr>
          <m:t>–</m:t>
        </m:r>
      </m:oMath>
      <w:r>
        <w:rPr>
          <w:b/>
          <w:bCs/>
        </w:rPr>
        <w:t xml:space="preserve">7.80</w:t>
      </w:r>
      <w:r>
        <w:t xml:space="preserve"> </w:t>
      </w:r>
      <w:r>
        <w:t xml:space="preserve">(from</w:t>
      </w:r>
      <w:r>
        <w:t xml:space="preserve"> </w:t>
      </w:r>
      <m:oMath>
        <m:r>
          <m:t>7.30</m:t>
        </m:r>
        <m:r>
          <m:rPr>
            <m:sty m:val="p"/>
          </m:rPr>
          <m:t>–</m:t>
        </m:r>
      </m:oMath>
      <w:r>
        <w:t xml:space="preserve">7.60), which "would result in more than 20% growth at the midpoint." Key drivers underpinning that raise, per CEO Bob Sulentic and CFO Emma Giamartino on the Q1 call:</w:t>
      </w:r>
    </w:p>
    <w:p>
      <w:pPr>
        <w:pStyle w:val="Compact"/>
        <w:numPr>
          <w:ilvl w:val="0"/>
          <w:numId w:val="1002"/>
        </w:numPr>
      </w:pPr>
      <w:r>
        <w:rPr>
          <w:b/>
          <w:bCs/>
        </w:rPr>
        <w:t xml:space="preserve">Infrastructure/data centers as the core growth engine:</w:t>
      </w:r>
      <w:r>
        <w:t xml:space="preserve"> </w:t>
      </w:r>
      <w:r>
        <w:t xml:space="preserve">the company generated "more than $3 billion of total revenue from infrastructure activities in 2025 and nearly $950 million in the first quarter," with the newly created Critical Infrastructure Services line (including the Pearce acquisition) expected to grow "in excess of 60% this year."</w:t>
      </w:r>
    </w:p>
    <w:p>
      <w:pPr>
        <w:pStyle w:val="Compact"/>
        <w:numPr>
          <w:ilvl w:val="0"/>
          <w:numId w:val="1002"/>
        </w:numPr>
      </w:pPr>
      <w:r>
        <w:rPr>
          <w:b/>
          <w:bCs/>
        </w:rPr>
        <w:t xml:space="preserve">Broad-based transactional strength:</w:t>
      </w:r>
      <w:r>
        <w:t xml:space="preserve"> </w:t>
      </w:r>
      <w:r>
        <w:t xml:space="preserve">Q1 leasing revenue grew 18% globally (21% in the U.S., with U.S. industrial leasing up 24%), while global property sales revenue rose 39% (U.S. sales +64%) and mortgage origination increased 53%.</w:t>
      </w:r>
    </w:p>
    <w:p>
      <w:pPr>
        <w:pStyle w:val="Compact"/>
        <w:numPr>
          <w:ilvl w:val="0"/>
          <w:numId w:val="1002"/>
        </w:numPr>
      </w:pPr>
      <w:r>
        <w:rPr>
          <w:b/>
          <w:bCs/>
        </w:rPr>
        <w:t xml:space="preserve">Resilient businesses (BOE) growth of 18%,</w:t>
      </w:r>
      <w:r>
        <w:t xml:space="preserve"> </w:t>
      </w:r>
      <w:r>
        <w:t xml:space="preserve">with local facilities management in the Americas up almost 30%.</w:t>
      </w:r>
    </w:p>
    <w:p>
      <w:pPr>
        <w:pStyle w:val="Compact"/>
        <w:numPr>
          <w:ilvl w:val="0"/>
          <w:numId w:val="1002"/>
        </w:numPr>
      </w:pPr>
      <w:r>
        <w:rPr>
          <w:b/>
          <w:bCs/>
        </w:rPr>
        <w:t xml:space="preserve">Pulled-forward Trammell Crow data-center land profits</w:t>
      </w:r>
      <w:r>
        <w:t xml:space="preserve"> </w:t>
      </w:r>
      <w:r>
        <w:t xml:space="preserve">boosted Q1 REI results earlier than expected, leaving roughly $900 million of embedded gains still to be monetized over coming years (management stressed this is lumpy and hard to predict).</w:t>
      </w:r>
    </w:p>
    <w:p>
      <w:pPr>
        <w:pStyle w:val="Compact"/>
        <w:numPr>
          <w:ilvl w:val="0"/>
          <w:numId w:val="1002"/>
        </w:numPr>
      </w:pPr>
      <w:r>
        <w:t xml:space="preserve">Management guided to an unusually front-loaded year — "nearly 40% of EPS in the first half," a higher share than typical — which raises the bar for 1H performance but also implies a natural deceleration into 2H, particularly in advisory, where growth is expected to moderate against tougher comparisons.</w:t>
      </w:r>
    </w:p>
    <w:p>
      <w:pPr>
        <w:pStyle w:val="FirstParagraph"/>
      </w:pPr>
      <w:r>
        <w:t xml:space="preserve">Management also addressed AI disruption fears directly on the Q1 call, arguing that transactional/brokerage revenue is relatively insulated because "the vast majority of what we spend in that business goes to our brokers" for strategic and negotiating value rather than pure data/financial analysis — a talking point investors should expect CBRE to reinforce again this quarter given how much the AI-disruption narrative has weighed on the stock.</w:t>
      </w:r>
    </w:p>
    <w:bookmarkEnd w:id="11"/>
    <w:bookmarkStart w:id="12" w:name="X6f684109e307f10503c1f48f157687870ca4c44"/>
    <w:p>
      <w:pPr>
        <w:pStyle w:val="Heading2"/>
      </w:pPr>
      <w:r>
        <w:t xml:space="preserve">4. Key Themes to Watch in Tomorrow's Report</w:t>
      </w:r>
    </w:p>
    <w:p>
      <w:pPr>
        <w:pStyle w:val="Compact"/>
        <w:numPr>
          <w:ilvl w:val="0"/>
          <w:numId w:val="1003"/>
        </w:numPr>
      </w:pPr>
      <w:r>
        <w:rPr>
          <w:b/>
          <w:bCs/>
        </w:rPr>
        <w:t xml:space="preserve">Does the infrastructure/data-center flywheel keep accelerating?</w:t>
      </w:r>
      <w:r>
        <w:t xml:space="preserve"> </w:t>
      </w:r>
      <w:r>
        <w:t xml:space="preserve">Watch Critical Infrastructure Services revenue growth (guided &gt;60% for 2026), data center leasing trends, and any commentary on Trammell Crow's land-bank monetization pace.</w:t>
      </w:r>
    </w:p>
    <w:p>
      <w:pPr>
        <w:pStyle w:val="Compact"/>
        <w:numPr>
          <w:ilvl w:val="0"/>
          <w:numId w:val="1003"/>
        </w:numPr>
      </w:pPr>
      <w:r>
        <w:rPr>
          <w:b/>
          <w:bCs/>
        </w:rPr>
        <w:t xml:space="preserve">Guidance cadence:</w:t>
      </w:r>
      <w:r>
        <w:t xml:space="preserve"> </w:t>
      </w:r>
      <w:r>
        <w:t xml:space="preserve">After raising FY26 EPS guidance to</w:t>
      </w:r>
      <w:r>
        <w:t xml:space="preserve"> </w:t>
      </w:r>
      <m:oMath>
        <m:r>
          <m:t>7.60</m:t>
        </m:r>
        <m:r>
          <m:rPr>
            <m:sty m:val="p"/>
          </m:rPr>
          <m:t>–</m:t>
        </m:r>
      </m:oMath>
      <w:r>
        <w:t xml:space="preserve">7.80 in Q1 and front-loading ~40% of EPS into 1H, does management reaffirm, raise further, or signal any caution about 2H deceleration in Advisory given tougher comps?</w:t>
      </w:r>
    </w:p>
    <w:p>
      <w:pPr>
        <w:pStyle w:val="Compact"/>
        <w:numPr>
          <w:ilvl w:val="0"/>
          <w:numId w:val="1003"/>
        </w:numPr>
      </w:pPr>
      <w:r>
        <w:rPr>
          <w:b/>
          <w:bCs/>
        </w:rPr>
        <w:t xml:space="preserve">AI disruption narrative:</w:t>
      </w:r>
      <w:r>
        <w:t xml:space="preserve"> </w:t>
      </w:r>
      <w:r>
        <w:t xml:space="preserve">Given that concerns that automation could hit higher-margin areas like appraisals and research gained traction and sparked a sell-off, expect analysts to press management again on how AI is affecting brokerage, valuation, and research margins/headcount.</w:t>
      </w:r>
    </w:p>
    <w:p>
      <w:pPr>
        <w:pStyle w:val="Compact"/>
        <w:numPr>
          <w:ilvl w:val="0"/>
          <w:numId w:val="1003"/>
        </w:numPr>
      </w:pPr>
      <w:r>
        <w:rPr>
          <w:b/>
          <w:bCs/>
        </w:rPr>
        <w:t xml:space="preserve">Macro/geopolitical overhang:</w:t>
      </w:r>
      <w:r>
        <w:t xml:space="preserve"> </w:t>
      </w:r>
      <w:r>
        <w:t xml:space="preserve">A summary of market conditions into Q2 flagged that a military conflict in the Middle East led to disruptions in trade flows through the Strait of Hormuz, causing a global energy supply shock and pushing Brent crude oil prices to an anticipated peak of around $110 per barrel in Q2 2026, which resulted in higher near-term inflation, with producer and consumer headline inflation accelerating to 4.0% and 3.3% respectively. Watch for commentary on whether elevated energy prices/inflation dented capital markets decision-making or client leasing activity during the quarter (CBRE said in Q1 it hadn't seen a slowdown yet, but the energy shock intensified into Q2).</w:t>
      </w:r>
    </w:p>
    <w:p>
      <w:pPr>
        <w:pStyle w:val="Compact"/>
        <w:numPr>
          <w:ilvl w:val="0"/>
          <w:numId w:val="1003"/>
        </w:numPr>
      </w:pPr>
      <w:r>
        <w:rPr>
          <w:b/>
          <w:bCs/>
        </w:rPr>
        <w:t xml:space="preserve">Capital allocation:</w:t>
      </w:r>
      <w:r>
        <w:t xml:space="preserve"> </w:t>
      </w:r>
      <w:r>
        <w:t xml:space="preserve">Continued share buybacks (CBRE repurchased ~$540 million YTD as of Q1, calling shares undervalued) and M&amp;A activity, particularly bolt-ons in data center/critical infrastructure services.</w:t>
      </w:r>
    </w:p>
    <w:p>
      <w:pPr>
        <w:pStyle w:val="Compact"/>
        <w:numPr>
          <w:ilvl w:val="0"/>
          <w:numId w:val="1003"/>
        </w:numPr>
      </w:pPr>
      <w:r>
        <w:rPr>
          <w:b/>
          <w:bCs/>
        </w:rPr>
        <w:t xml:space="preserve">Segment margins:</w:t>
      </w:r>
      <w:r>
        <w:t xml:space="preserve"> </w:t>
      </w:r>
      <w:r>
        <w:t xml:space="preserve">Advisory margins are near 2019 "steady-state" levels per management; BOE and Project Management are flagged as having more margin upside — watch for progress there.</w:t>
      </w:r>
    </w:p>
    <w:bookmarkEnd w:id="12"/>
    <w:bookmarkStart w:id="13" w:name="X95baf2475ea004f387a4887e0ad03d3a86a4557"/>
    <w:p>
      <w:pPr>
        <w:pStyle w:val="Heading2"/>
      </w:pPr>
      <w:r>
        <w:t xml:space="preserve">5. Valuation Snapshot</w:t>
      </w:r>
    </w:p>
    <w:p>
      <w:pPr>
        <w:pStyle w:val="Compact"/>
        <w:numPr>
          <w:ilvl w:val="0"/>
          <w:numId w:val="1004"/>
        </w:numPr>
      </w:pPr>
      <w:r>
        <w:t xml:space="preserve">Market cap: roughly $42 billion</w:t>
      </w:r>
    </w:p>
    <w:p>
      <w:pPr>
        <w:pStyle w:val="Compact"/>
        <w:numPr>
          <w:ilvl w:val="0"/>
          <w:numId w:val="1004"/>
        </w:numPr>
      </w:pPr>
      <w:r>
        <w:t xml:space="preserve">Trailing P/E: a price-to-earnings ratio of 32.82 (Defense World data), which one valuation service estimates leaves the stock roughly 11.8% undervalued relative to fair value estimates</w:t>
      </w:r>
    </w:p>
    <w:p>
      <w:pPr>
        <w:pStyle w:val="Compact"/>
        <w:numPr>
          <w:ilvl w:val="0"/>
          <w:numId w:val="1004"/>
        </w:numPr>
      </w:pPr>
      <w:r>
        <w:t xml:space="preserve">52-week range: a fifty-two week low of $121.69 and a fifty-two week high of $174.27</w:t>
      </w:r>
    </w:p>
    <w:bookmarkEnd w:id="13"/>
    <w:bookmarkStart w:id="14" w:name="X49e34d9056703e0521ab3ce2e920b2c4ba97a36"/>
    <w:p>
      <w:pPr>
        <w:pStyle w:val="Heading2"/>
      </w:pPr>
      <w:r>
        <w:t xml:space="preserve">6. Bottom Line</w:t>
      </w:r>
    </w:p>
    <w:p>
      <w:pPr>
        <w:pStyle w:val="FirstParagraph"/>
      </w:pPr>
      <w:r>
        <w:t xml:space="preserve">CBRE heads into Q2 2026 earnings with strong underlying fundamentals — data center/infrastructure services momentum, resilient facilities management growth, and a raised full-year guide of</w:t>
      </w:r>
      <w:r>
        <w:t xml:space="preserve"> </w:t>
      </w:r>
      <m:oMath>
        <m:r>
          <m:t>7.60</m:t>
        </m:r>
        <m:r>
          <m:rPr>
            <m:sty m:val="p"/>
          </m:rPr>
          <m:t>–</m:t>
        </m:r>
      </m:oMath>
      <w:r>
        <w:t xml:space="preserve">7.80 EPS — but a stock price that has lagged those fundamentals amid AI-disruption fears and macro/geopolitical noise (energy price spike, inflation). A beat-and-raise quarter, consistent with the last four quarters' pattern, would likely be well received and could help close the gap to the ~$177 average price target; but with Zacks' Earnings ESP modestly negative and revenue estimates having been missed in the past, investors should watch both the headline numbers and, just as importantly, management's tone on 2H deceleration, AI-related margin questions, and the sustainability of the data-center land-monetization pipeline.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2026-07-29T00:28:25Z</dcterms:created>
  <dcterms:modified xsi:type="dcterms:W3CDTF">2026-07-29T00:28:25Z</dcterms:modified>
</cp:coreProperties>
</file>

<file path=docProps/custom.xml><?xml version="1.0" encoding="utf-8"?>
<Properties xmlns="http://schemas.openxmlformats.org/officeDocument/2006/custom-properties" xmlns:vt="http://schemas.openxmlformats.org/officeDocument/2006/docPropsVTypes"/>
</file>